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9C6D7" w14:textId="4E2A92E8" w:rsidR="00185FC0" w:rsidRPr="003C0D8E" w:rsidRDefault="003C0D8E">
      <w:pPr>
        <w:rPr>
          <w:b/>
          <w:bCs/>
        </w:rPr>
      </w:pPr>
      <w:r w:rsidRPr="003C0D8E">
        <w:rPr>
          <w:b/>
          <w:bCs/>
        </w:rPr>
        <w:t>Tableau de suivi des recommandations</w:t>
      </w:r>
    </w:p>
    <w:p w14:paraId="4AC5DF61" w14:textId="0F63BA1A" w:rsidR="003C0D8E" w:rsidRDefault="003C0D8E">
      <w:r>
        <w:t>Exigence 7.3</w:t>
      </w:r>
    </w:p>
    <w:p w14:paraId="1A3AA582" w14:textId="56EC3B93" w:rsidR="009B6B98" w:rsidRDefault="009B6B98"/>
    <w:tbl>
      <w:tblPr>
        <w:tblW w:w="14849" w:type="dxa"/>
        <w:tblBorders>
          <w:insideH w:val="single" w:sz="4" w:space="0" w:color="808080" w:themeColor="background1" w:themeShade="80"/>
        </w:tblBorders>
        <w:tblLook w:val="04A0" w:firstRow="1" w:lastRow="0" w:firstColumn="1" w:lastColumn="0" w:noHBand="0" w:noVBand="1"/>
      </w:tblPr>
      <w:tblGrid>
        <w:gridCol w:w="385"/>
        <w:gridCol w:w="2683"/>
        <w:gridCol w:w="578"/>
        <w:gridCol w:w="1403"/>
        <w:gridCol w:w="946"/>
        <w:gridCol w:w="90"/>
        <w:gridCol w:w="1283"/>
        <w:gridCol w:w="557"/>
        <w:gridCol w:w="700"/>
        <w:gridCol w:w="1150"/>
        <w:gridCol w:w="650"/>
        <w:gridCol w:w="2229"/>
        <w:gridCol w:w="61"/>
        <w:gridCol w:w="2231"/>
      </w:tblGrid>
      <w:tr w:rsidR="009B6B98" w:rsidRPr="00496DF7" w14:paraId="0919AE65" w14:textId="77777777" w:rsidTr="00565083">
        <w:trPr>
          <w:trHeight w:val="315"/>
        </w:trPr>
        <w:tc>
          <w:tcPr>
            <w:tcW w:w="284" w:type="dxa"/>
            <w:shd w:val="clear" w:color="000000" w:fill="B4C6E7"/>
            <w:noWrap/>
            <w:hideMark/>
          </w:tcPr>
          <w:p w14:paraId="523F3487" w14:textId="77777777" w:rsidR="009B6B98" w:rsidRPr="00AF2FF4" w:rsidRDefault="009B6B98" w:rsidP="00565083">
            <w:pPr>
              <w:jc w:val="right"/>
              <w:rPr>
                <w:rFonts w:cstheme="minorHAnsi"/>
                <w:color w:val="000000"/>
                <w:sz w:val="16"/>
                <w:szCs w:val="16"/>
                <w:lang w:eastAsia="en-GB"/>
              </w:rPr>
            </w:pPr>
            <w:r w:rsidRPr="00AF2FF4">
              <w:rPr>
                <w:rFonts w:cstheme="minorHAnsi"/>
                <w:color w:val="000000"/>
                <w:sz w:val="16"/>
                <w:szCs w:val="16"/>
                <w:lang w:eastAsia="en-GB"/>
              </w:rPr>
              <w:t>Nr</w:t>
            </w:r>
          </w:p>
        </w:tc>
        <w:tc>
          <w:tcPr>
            <w:tcW w:w="2683" w:type="dxa"/>
            <w:shd w:val="clear" w:color="000000" w:fill="B4C6E7"/>
            <w:noWrap/>
            <w:hideMark/>
          </w:tcPr>
          <w:p w14:paraId="5DCF058B"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Recommandation</w:t>
            </w:r>
          </w:p>
        </w:tc>
        <w:tc>
          <w:tcPr>
            <w:tcW w:w="1981" w:type="dxa"/>
            <w:gridSpan w:val="2"/>
            <w:shd w:val="clear" w:color="000000" w:fill="B4C6E7"/>
            <w:noWrap/>
            <w:hideMark/>
          </w:tcPr>
          <w:p w14:paraId="6A1491EA"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Source de la recommandation</w:t>
            </w:r>
          </w:p>
        </w:tc>
        <w:tc>
          <w:tcPr>
            <w:tcW w:w="946" w:type="dxa"/>
            <w:shd w:val="clear" w:color="000000" w:fill="B4C6E7"/>
            <w:noWrap/>
            <w:hideMark/>
          </w:tcPr>
          <w:p w14:paraId="322EB7D8"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Niveau de priorité</w:t>
            </w:r>
          </w:p>
        </w:tc>
        <w:tc>
          <w:tcPr>
            <w:tcW w:w="1930" w:type="dxa"/>
            <w:gridSpan w:val="3"/>
            <w:shd w:val="clear" w:color="000000" w:fill="B4C6E7"/>
            <w:noWrap/>
            <w:hideMark/>
          </w:tcPr>
          <w:p w14:paraId="454F9A48"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Entité responsable</w:t>
            </w:r>
          </w:p>
        </w:tc>
        <w:tc>
          <w:tcPr>
            <w:tcW w:w="1850" w:type="dxa"/>
            <w:gridSpan w:val="2"/>
            <w:shd w:val="clear" w:color="000000" w:fill="B4C6E7"/>
            <w:noWrap/>
            <w:hideMark/>
          </w:tcPr>
          <w:p w14:paraId="19DE9A92"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Suivi par</w:t>
            </w:r>
          </w:p>
        </w:tc>
        <w:tc>
          <w:tcPr>
            <w:tcW w:w="2883" w:type="dxa"/>
            <w:gridSpan w:val="2"/>
            <w:shd w:val="clear" w:color="000000" w:fill="B4C6E7"/>
          </w:tcPr>
          <w:p w14:paraId="0BDC816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Statut</w:t>
            </w:r>
          </w:p>
          <w:p w14:paraId="255DD06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w:t>
            </w:r>
            <w:proofErr w:type="gramStart"/>
            <w:r w:rsidRPr="00496DF7">
              <w:rPr>
                <w:rFonts w:cstheme="minorHAnsi"/>
                <w:color w:val="000000"/>
                <w:sz w:val="16"/>
                <w:szCs w:val="16"/>
                <w:lang w:eastAsia="en-GB"/>
              </w:rPr>
              <w:t>action</w:t>
            </w:r>
            <w:proofErr w:type="gramEnd"/>
            <w:r w:rsidRPr="00496DF7">
              <w:rPr>
                <w:rFonts w:cstheme="minorHAnsi"/>
                <w:color w:val="000000"/>
                <w:sz w:val="16"/>
                <w:szCs w:val="16"/>
                <w:lang w:eastAsia="en-GB"/>
              </w:rPr>
              <w:t xml:space="preserve"> complétée, en cours/aucune action/ non adoptée par le GMP</w:t>
            </w:r>
          </w:p>
        </w:tc>
        <w:tc>
          <w:tcPr>
            <w:tcW w:w="2292" w:type="dxa"/>
            <w:gridSpan w:val="2"/>
            <w:shd w:val="clear" w:color="000000" w:fill="B4C6E7"/>
            <w:noWrap/>
            <w:hideMark/>
          </w:tcPr>
          <w:p w14:paraId="1B117DF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Le cas échéant : Exigence ITIE connexe et autres commentaires</w:t>
            </w:r>
          </w:p>
        </w:tc>
      </w:tr>
      <w:tr w:rsidR="009B6B98" w:rsidRPr="00496DF7" w14:paraId="27B686B1" w14:textId="77777777" w:rsidTr="00565083">
        <w:trPr>
          <w:trHeight w:val="630"/>
        </w:trPr>
        <w:tc>
          <w:tcPr>
            <w:tcW w:w="284" w:type="dxa"/>
            <w:shd w:val="clear" w:color="auto" w:fill="auto"/>
            <w:noWrap/>
          </w:tcPr>
          <w:p w14:paraId="3944075F"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1</w:t>
            </w:r>
          </w:p>
        </w:tc>
        <w:tc>
          <w:tcPr>
            <w:tcW w:w="2683" w:type="dxa"/>
            <w:shd w:val="clear" w:color="auto" w:fill="auto"/>
            <w:noWrap/>
            <w:hideMark/>
          </w:tcPr>
          <w:p w14:paraId="01DBA793" w14:textId="77777777" w:rsidR="009B6B98" w:rsidRPr="00496DF7" w:rsidRDefault="009B6B98" w:rsidP="00565083">
            <w:pPr>
              <w:contextualSpacing/>
              <w:rPr>
                <w:rFonts w:cstheme="minorHAnsi"/>
                <w:sz w:val="16"/>
                <w:szCs w:val="16"/>
              </w:rPr>
            </w:pPr>
            <w:r w:rsidRPr="00496DF7">
              <w:rPr>
                <w:rFonts w:cstheme="minorHAnsi"/>
                <w:sz w:val="16"/>
                <w:szCs w:val="16"/>
              </w:rPr>
              <w:t>Travailler avec l’Ambassade de Chine en RDC pour une bonne intégration des entreprises à capitaux chinois dans le processus de déclaration à l’ITIE.</w:t>
            </w:r>
          </w:p>
        </w:tc>
        <w:tc>
          <w:tcPr>
            <w:tcW w:w="1981" w:type="dxa"/>
            <w:gridSpan w:val="2"/>
            <w:shd w:val="clear" w:color="auto" w:fill="auto"/>
            <w:noWrap/>
            <w:hideMark/>
          </w:tcPr>
          <w:p w14:paraId="62B860A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hideMark/>
          </w:tcPr>
          <w:p w14:paraId="56600377"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Élevé</w:t>
            </w:r>
          </w:p>
        </w:tc>
        <w:tc>
          <w:tcPr>
            <w:tcW w:w="1930" w:type="dxa"/>
            <w:gridSpan w:val="3"/>
            <w:shd w:val="clear" w:color="auto" w:fill="auto"/>
            <w:hideMark/>
          </w:tcPr>
          <w:p w14:paraId="3C71CA3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Gouvernement, Entreprises et Ambassade de Chine en RDC</w:t>
            </w:r>
          </w:p>
        </w:tc>
        <w:tc>
          <w:tcPr>
            <w:tcW w:w="1850" w:type="dxa"/>
            <w:gridSpan w:val="2"/>
            <w:shd w:val="clear" w:color="auto" w:fill="auto"/>
            <w:hideMark/>
          </w:tcPr>
          <w:p w14:paraId="74668B18"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 14. </w:t>
            </w:r>
          </w:p>
        </w:tc>
        <w:tc>
          <w:tcPr>
            <w:tcW w:w="2883" w:type="dxa"/>
            <w:gridSpan w:val="2"/>
          </w:tcPr>
          <w:p w14:paraId="1CF31AFF"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Non réalisé (En attente d’un rendez-vous après demande d’audience sans suite)</w:t>
            </w:r>
          </w:p>
        </w:tc>
        <w:tc>
          <w:tcPr>
            <w:tcW w:w="2292" w:type="dxa"/>
            <w:gridSpan w:val="2"/>
            <w:shd w:val="clear" w:color="auto" w:fill="auto"/>
            <w:hideMark/>
          </w:tcPr>
          <w:p w14:paraId="355F651B" w14:textId="77777777" w:rsidR="009B6B98" w:rsidRPr="00496DF7" w:rsidRDefault="009B6B98" w:rsidP="00565083">
            <w:pPr>
              <w:rPr>
                <w:rFonts w:cstheme="minorHAnsi"/>
                <w:color w:val="000000"/>
                <w:sz w:val="16"/>
                <w:szCs w:val="16"/>
                <w:lang w:eastAsia="en-GB"/>
              </w:rPr>
            </w:pPr>
            <w:r w:rsidRPr="00496DF7">
              <w:rPr>
                <w:color w:val="000000"/>
                <w:sz w:val="16"/>
                <w:szCs w:val="16"/>
              </w:rPr>
              <w:t xml:space="preserve">Exigences 1.1, 1.2 et 4.1 : engagement des parties prenantes et exhaustivité de la déclaration. </w:t>
            </w:r>
          </w:p>
        </w:tc>
      </w:tr>
      <w:tr w:rsidR="009B6B98" w:rsidRPr="00496DF7" w14:paraId="072A1E6E" w14:textId="77777777" w:rsidTr="00565083">
        <w:trPr>
          <w:trHeight w:val="315"/>
        </w:trPr>
        <w:tc>
          <w:tcPr>
            <w:tcW w:w="284" w:type="dxa"/>
            <w:shd w:val="clear" w:color="auto" w:fill="auto"/>
            <w:noWrap/>
          </w:tcPr>
          <w:p w14:paraId="2059EB86"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2</w:t>
            </w:r>
          </w:p>
        </w:tc>
        <w:tc>
          <w:tcPr>
            <w:tcW w:w="2683" w:type="dxa"/>
            <w:shd w:val="clear" w:color="auto" w:fill="auto"/>
            <w:noWrap/>
            <w:vAlign w:val="center"/>
            <w:hideMark/>
          </w:tcPr>
          <w:p w14:paraId="34AD4880" w14:textId="77777777" w:rsidR="009B6B98" w:rsidRPr="00496DF7" w:rsidRDefault="009B6B98" w:rsidP="00565083">
            <w:pPr>
              <w:contextualSpacing/>
              <w:jc w:val="both"/>
              <w:rPr>
                <w:rFonts w:cstheme="minorHAnsi"/>
                <w:sz w:val="16"/>
                <w:szCs w:val="16"/>
              </w:rPr>
            </w:pPr>
            <w:r w:rsidRPr="00496DF7">
              <w:rPr>
                <w:rFonts w:cstheme="minorHAnsi"/>
                <w:sz w:val="16"/>
                <w:szCs w:val="16"/>
              </w:rPr>
              <w:t>Veiller à la stricte application des dispositions des articles 258 bis alinéa 2 et 285 octies du Code minier ainsi que 414 sexies du Règlement minier relatives au paiement et à la gestion de la dotation de 0,3% pour contribution aux projets de développement communautaire.</w:t>
            </w:r>
          </w:p>
        </w:tc>
        <w:tc>
          <w:tcPr>
            <w:tcW w:w="1981" w:type="dxa"/>
            <w:gridSpan w:val="2"/>
            <w:shd w:val="clear" w:color="auto" w:fill="auto"/>
            <w:noWrap/>
          </w:tcPr>
          <w:p w14:paraId="76C321A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36EEE4A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Moyen </w:t>
            </w:r>
          </w:p>
        </w:tc>
        <w:tc>
          <w:tcPr>
            <w:tcW w:w="1930" w:type="dxa"/>
            <w:gridSpan w:val="3"/>
            <w:shd w:val="clear" w:color="auto" w:fill="auto"/>
            <w:noWrap/>
          </w:tcPr>
          <w:p w14:paraId="05C5A9C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Ministre des mines et des affaires sociales</w:t>
            </w:r>
          </w:p>
        </w:tc>
        <w:tc>
          <w:tcPr>
            <w:tcW w:w="1850" w:type="dxa"/>
            <w:gridSpan w:val="2"/>
            <w:shd w:val="clear" w:color="auto" w:fill="auto"/>
            <w:noWrap/>
          </w:tcPr>
          <w:p w14:paraId="0B0E7D4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23.</w:t>
            </w:r>
          </w:p>
        </w:tc>
        <w:tc>
          <w:tcPr>
            <w:tcW w:w="2883" w:type="dxa"/>
            <w:gridSpan w:val="2"/>
          </w:tcPr>
          <w:p w14:paraId="45E9B62F" w14:textId="77777777" w:rsidR="009B6B98" w:rsidRPr="00496DF7" w:rsidRDefault="009B6B98" w:rsidP="00565083">
            <w:pPr>
              <w:rPr>
                <w:rFonts w:cstheme="minorHAnsi"/>
                <w:sz w:val="16"/>
                <w:szCs w:val="16"/>
                <w:lang w:eastAsia="en-GB"/>
              </w:rPr>
            </w:pPr>
            <w:r w:rsidRPr="00496DF7">
              <w:rPr>
                <w:rFonts w:cstheme="minorHAnsi"/>
                <w:sz w:val="16"/>
                <w:szCs w:val="16"/>
                <w:lang w:eastAsia="en-GB"/>
              </w:rPr>
              <w:t xml:space="preserve">Réalisé : De 2022 à 2026 :   installation de 46 DOT </w:t>
            </w:r>
            <w:proofErr w:type="spellStart"/>
            <w:r w:rsidRPr="00496DF7">
              <w:rPr>
                <w:rFonts w:cstheme="minorHAnsi"/>
                <w:sz w:val="16"/>
                <w:szCs w:val="16"/>
                <w:lang w:eastAsia="en-GB"/>
              </w:rPr>
              <w:t>aupres</w:t>
            </w:r>
            <w:proofErr w:type="spellEnd"/>
            <w:r w:rsidRPr="00496DF7">
              <w:rPr>
                <w:rFonts w:cstheme="minorHAnsi"/>
                <w:sz w:val="16"/>
                <w:szCs w:val="16"/>
                <w:lang w:eastAsia="en-GB"/>
              </w:rPr>
              <w:t xml:space="preserve"> des entreprises les plus significatives  </w:t>
            </w:r>
          </w:p>
        </w:tc>
        <w:tc>
          <w:tcPr>
            <w:tcW w:w="2292" w:type="dxa"/>
            <w:gridSpan w:val="2"/>
            <w:shd w:val="clear" w:color="auto" w:fill="auto"/>
            <w:noWrap/>
            <w:hideMark/>
          </w:tcPr>
          <w:p w14:paraId="31FF004B" w14:textId="77777777" w:rsidR="009B6B98" w:rsidRPr="00496DF7" w:rsidRDefault="009B6B98" w:rsidP="00565083">
            <w:pPr>
              <w:rPr>
                <w:color w:val="000000"/>
                <w:sz w:val="16"/>
                <w:szCs w:val="16"/>
              </w:rPr>
            </w:pPr>
            <w:r w:rsidRPr="00496DF7">
              <w:rPr>
                <w:color w:val="000000"/>
                <w:sz w:val="16"/>
                <w:szCs w:val="16"/>
              </w:rPr>
              <w:t>Exigence 6.1 / obligations sociales : transparence sur la dotation de 0,3% et son utilisation au bénéfice des communautés.</w:t>
            </w:r>
          </w:p>
          <w:p w14:paraId="1EBB0135" w14:textId="77777777" w:rsidR="009B6B98" w:rsidRPr="00496DF7" w:rsidRDefault="009B6B98" w:rsidP="00565083">
            <w:pPr>
              <w:rPr>
                <w:rFonts w:cstheme="minorHAnsi"/>
                <w:sz w:val="16"/>
                <w:szCs w:val="16"/>
                <w:lang w:eastAsia="en-GB"/>
              </w:rPr>
            </w:pPr>
          </w:p>
        </w:tc>
      </w:tr>
      <w:tr w:rsidR="009B6B98" w:rsidRPr="00496DF7" w14:paraId="5409CDCE" w14:textId="77777777" w:rsidTr="00565083">
        <w:trPr>
          <w:trHeight w:val="315"/>
        </w:trPr>
        <w:tc>
          <w:tcPr>
            <w:tcW w:w="284" w:type="dxa"/>
            <w:shd w:val="clear" w:color="auto" w:fill="auto"/>
            <w:noWrap/>
          </w:tcPr>
          <w:p w14:paraId="75DE2312"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3</w:t>
            </w:r>
          </w:p>
        </w:tc>
        <w:tc>
          <w:tcPr>
            <w:tcW w:w="2683" w:type="dxa"/>
            <w:shd w:val="clear" w:color="auto" w:fill="auto"/>
            <w:noWrap/>
          </w:tcPr>
          <w:p w14:paraId="65F463D2" w14:textId="77777777" w:rsidR="009B6B98" w:rsidRPr="00496DF7" w:rsidRDefault="009B6B98" w:rsidP="00565083">
            <w:pPr>
              <w:contextualSpacing/>
              <w:rPr>
                <w:rFonts w:cstheme="minorHAnsi"/>
                <w:sz w:val="16"/>
                <w:szCs w:val="16"/>
              </w:rPr>
            </w:pPr>
            <w:r w:rsidRPr="00496DF7">
              <w:rPr>
                <w:rFonts w:cstheme="minorHAnsi"/>
                <w:sz w:val="16"/>
                <w:szCs w:val="16"/>
              </w:rPr>
              <w:t xml:space="preserve">Publier les synthèses des EIES/PGES et le rapport de suivi des engagements environnementaux des opérateurs </w:t>
            </w:r>
          </w:p>
        </w:tc>
        <w:tc>
          <w:tcPr>
            <w:tcW w:w="1981" w:type="dxa"/>
            <w:gridSpan w:val="2"/>
            <w:shd w:val="clear" w:color="auto" w:fill="auto"/>
            <w:noWrap/>
          </w:tcPr>
          <w:p w14:paraId="6BA659E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67D42BB0" w14:textId="77777777" w:rsidR="009B6B98" w:rsidRPr="00496DF7" w:rsidRDefault="009B6B98" w:rsidP="00565083">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519CFC7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et de l’Environnement</w:t>
            </w:r>
          </w:p>
        </w:tc>
        <w:tc>
          <w:tcPr>
            <w:tcW w:w="1850" w:type="dxa"/>
            <w:gridSpan w:val="2"/>
            <w:shd w:val="clear" w:color="auto" w:fill="auto"/>
            <w:noWrap/>
          </w:tcPr>
          <w:p w14:paraId="0E8D5E6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606B901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En cours (Activités de concert avec la DPEM, la CTCPM et les entreprises pour convenir de la responsabilité d’élaborer les synthèses à publier).</w:t>
            </w:r>
          </w:p>
        </w:tc>
        <w:tc>
          <w:tcPr>
            <w:tcW w:w="2292" w:type="dxa"/>
            <w:gridSpan w:val="2"/>
            <w:shd w:val="clear" w:color="auto" w:fill="auto"/>
            <w:vAlign w:val="center"/>
          </w:tcPr>
          <w:p w14:paraId="19831002" w14:textId="77777777" w:rsidR="009B6B98" w:rsidRPr="00496DF7" w:rsidRDefault="009B6B98" w:rsidP="00565083">
            <w:pPr>
              <w:rPr>
                <w:rFonts w:cstheme="minorHAnsi"/>
                <w:color w:val="000000"/>
                <w:sz w:val="16"/>
                <w:szCs w:val="16"/>
                <w:lang w:eastAsia="en-GB"/>
              </w:rPr>
            </w:pPr>
            <w:r w:rsidRPr="00496DF7">
              <w:rPr>
                <w:color w:val="000000"/>
                <w:sz w:val="16"/>
                <w:szCs w:val="16"/>
              </w:rPr>
              <w:t xml:space="preserve">Exigence 6.4 : Impact environnemental et </w:t>
            </w:r>
            <w:proofErr w:type="gramStart"/>
            <w:r w:rsidRPr="00496DF7">
              <w:rPr>
                <w:color w:val="000000"/>
                <w:sz w:val="16"/>
                <w:szCs w:val="16"/>
              </w:rPr>
              <w:t>social .</w:t>
            </w:r>
            <w:proofErr w:type="gramEnd"/>
            <w:r w:rsidRPr="00496DF7">
              <w:rPr>
                <w:color w:val="000000"/>
                <w:sz w:val="16"/>
                <w:szCs w:val="16"/>
              </w:rPr>
              <w:t xml:space="preserve"> Renforcer l’accessibilité publique des impacts socio-environnementaux de </w:t>
            </w:r>
            <w:proofErr w:type="gramStart"/>
            <w:r w:rsidRPr="00496DF7">
              <w:rPr>
                <w:color w:val="000000"/>
                <w:sz w:val="16"/>
                <w:szCs w:val="16"/>
              </w:rPr>
              <w:t>l’exploitation  .</w:t>
            </w:r>
            <w:proofErr w:type="gramEnd"/>
          </w:p>
        </w:tc>
      </w:tr>
      <w:tr w:rsidR="009B6B98" w:rsidRPr="00496DF7" w14:paraId="3C4A4EDB" w14:textId="77777777" w:rsidTr="00565083">
        <w:trPr>
          <w:trHeight w:val="315"/>
        </w:trPr>
        <w:tc>
          <w:tcPr>
            <w:tcW w:w="284" w:type="dxa"/>
            <w:shd w:val="clear" w:color="auto" w:fill="auto"/>
            <w:noWrap/>
          </w:tcPr>
          <w:p w14:paraId="172930B4" w14:textId="77777777" w:rsidR="009B6B98" w:rsidRPr="00AF2FF4" w:rsidRDefault="009B6B98" w:rsidP="00565083">
            <w:pPr>
              <w:rPr>
                <w:rFonts w:cstheme="minorHAnsi"/>
                <w:color w:val="000000"/>
                <w:sz w:val="16"/>
                <w:szCs w:val="16"/>
                <w:lang w:eastAsia="en-GB"/>
              </w:rPr>
            </w:pPr>
            <w:r w:rsidRPr="00AF2FF4">
              <w:rPr>
                <w:rFonts w:cstheme="minorHAnsi"/>
                <w:color w:val="000000"/>
                <w:sz w:val="16"/>
                <w:szCs w:val="16"/>
                <w:lang w:eastAsia="en-GB"/>
              </w:rPr>
              <w:t>4</w:t>
            </w:r>
          </w:p>
        </w:tc>
        <w:tc>
          <w:tcPr>
            <w:tcW w:w="2683" w:type="dxa"/>
            <w:shd w:val="clear" w:color="auto" w:fill="auto"/>
            <w:noWrap/>
            <w:vAlign w:val="center"/>
          </w:tcPr>
          <w:p w14:paraId="223E2D34" w14:textId="77777777" w:rsidR="009B6B98" w:rsidRPr="00496DF7" w:rsidRDefault="009B6B98" w:rsidP="00565083">
            <w:pPr>
              <w:contextualSpacing/>
              <w:jc w:val="both"/>
              <w:rPr>
                <w:rFonts w:cstheme="minorHAnsi"/>
                <w:sz w:val="16"/>
                <w:szCs w:val="16"/>
              </w:rPr>
            </w:pPr>
            <w:r w:rsidRPr="00496DF7">
              <w:rPr>
                <w:rFonts w:cstheme="minorHAnsi"/>
                <w:sz w:val="16"/>
                <w:szCs w:val="16"/>
              </w:rPr>
              <w:t>Publier le rapport de suivi des engagements environnementaux des opérateurs miniers</w:t>
            </w:r>
          </w:p>
        </w:tc>
        <w:tc>
          <w:tcPr>
            <w:tcW w:w="1981" w:type="dxa"/>
            <w:gridSpan w:val="2"/>
            <w:shd w:val="clear" w:color="auto" w:fill="auto"/>
            <w:noWrap/>
          </w:tcPr>
          <w:p w14:paraId="4658E62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5B814957" w14:textId="77777777" w:rsidR="009B6B98" w:rsidRPr="00496DF7" w:rsidRDefault="009B6B98" w:rsidP="00565083">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09E7882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et de l’Environnement</w:t>
            </w:r>
          </w:p>
        </w:tc>
        <w:tc>
          <w:tcPr>
            <w:tcW w:w="1850" w:type="dxa"/>
            <w:gridSpan w:val="2"/>
            <w:shd w:val="clear" w:color="auto" w:fill="auto"/>
            <w:noWrap/>
          </w:tcPr>
          <w:p w14:paraId="125E986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5208B02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En cours (étude thématique prévue pour évaluer)</w:t>
            </w:r>
          </w:p>
        </w:tc>
        <w:tc>
          <w:tcPr>
            <w:tcW w:w="2292" w:type="dxa"/>
            <w:gridSpan w:val="2"/>
            <w:shd w:val="clear" w:color="auto" w:fill="auto"/>
            <w:noWrap/>
            <w:vAlign w:val="center"/>
          </w:tcPr>
          <w:p w14:paraId="3259DB99" w14:textId="77777777" w:rsidR="009B6B98" w:rsidRPr="00496DF7" w:rsidRDefault="009B6B98" w:rsidP="00565083">
            <w:pPr>
              <w:rPr>
                <w:rFonts w:cstheme="minorHAnsi"/>
                <w:color w:val="000000"/>
                <w:sz w:val="16"/>
                <w:szCs w:val="16"/>
                <w:lang w:eastAsia="en-GB"/>
              </w:rPr>
            </w:pPr>
            <w:r w:rsidRPr="00496DF7">
              <w:rPr>
                <w:color w:val="000000"/>
                <w:sz w:val="16"/>
                <w:szCs w:val="16"/>
              </w:rPr>
              <w:t>Exigences 6.1 et 6.4 : Engagements sociaux &amp;</w:t>
            </w:r>
            <w:proofErr w:type="gramStart"/>
            <w:r w:rsidRPr="00496DF7">
              <w:rPr>
                <w:color w:val="000000"/>
                <w:sz w:val="16"/>
                <w:szCs w:val="16"/>
              </w:rPr>
              <w:t>environnementaux,  Impact</w:t>
            </w:r>
            <w:proofErr w:type="gramEnd"/>
            <w:r w:rsidRPr="00496DF7">
              <w:rPr>
                <w:color w:val="000000"/>
                <w:sz w:val="16"/>
                <w:szCs w:val="16"/>
              </w:rPr>
              <w:t xml:space="preserve"> environnemental et social . Renforcer l’accessibilité publique des impacts socio-environnementaux de </w:t>
            </w:r>
            <w:proofErr w:type="gramStart"/>
            <w:r w:rsidRPr="00496DF7">
              <w:rPr>
                <w:color w:val="000000"/>
                <w:sz w:val="16"/>
                <w:szCs w:val="16"/>
              </w:rPr>
              <w:t>l’exploitation  .</w:t>
            </w:r>
            <w:proofErr w:type="gramEnd"/>
          </w:p>
        </w:tc>
      </w:tr>
      <w:tr w:rsidR="009B6B98" w:rsidRPr="00496DF7" w14:paraId="2FA6FB65" w14:textId="77777777" w:rsidTr="00565083">
        <w:trPr>
          <w:trHeight w:val="315"/>
        </w:trPr>
        <w:tc>
          <w:tcPr>
            <w:tcW w:w="284" w:type="dxa"/>
            <w:shd w:val="clear" w:color="auto" w:fill="auto"/>
            <w:noWrap/>
          </w:tcPr>
          <w:p w14:paraId="09BFEBF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5</w:t>
            </w:r>
          </w:p>
        </w:tc>
        <w:tc>
          <w:tcPr>
            <w:tcW w:w="2683" w:type="dxa"/>
            <w:shd w:val="clear" w:color="auto" w:fill="auto"/>
            <w:noWrap/>
          </w:tcPr>
          <w:p w14:paraId="22CC5CB7" w14:textId="77777777" w:rsidR="009B6B98" w:rsidRPr="00496DF7" w:rsidRDefault="009B6B98" w:rsidP="00565083">
            <w:pPr>
              <w:rPr>
                <w:rFonts w:cstheme="minorHAnsi"/>
                <w:sz w:val="16"/>
                <w:szCs w:val="16"/>
              </w:rPr>
            </w:pPr>
            <w:r w:rsidRPr="00496DF7">
              <w:rPr>
                <w:rFonts w:cstheme="minorHAnsi"/>
                <w:sz w:val="16"/>
                <w:szCs w:val="16"/>
              </w:rPr>
              <w:t>Instruire les ministres ayant dans leurs attributions respectives les finances et le budget à prendre l’arrêté interministériel attribuant aux provinces productrices, la quotité de 10% des recettes pétrolières de catégorie B revenant aux provinces</w:t>
            </w:r>
          </w:p>
        </w:tc>
        <w:tc>
          <w:tcPr>
            <w:tcW w:w="1981" w:type="dxa"/>
            <w:gridSpan w:val="2"/>
            <w:shd w:val="clear" w:color="auto" w:fill="auto"/>
            <w:noWrap/>
          </w:tcPr>
          <w:p w14:paraId="150DA73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47D5589A" w14:textId="77777777" w:rsidR="009B6B98" w:rsidRPr="00496DF7" w:rsidRDefault="009B6B98" w:rsidP="00565083">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5EB4E17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Premier Ministre</w:t>
            </w:r>
          </w:p>
        </w:tc>
        <w:tc>
          <w:tcPr>
            <w:tcW w:w="1850" w:type="dxa"/>
            <w:gridSpan w:val="2"/>
            <w:shd w:val="clear" w:color="auto" w:fill="auto"/>
            <w:noWrap/>
          </w:tcPr>
          <w:p w14:paraId="5C39693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21855F0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 (Publication Cf. Arrêté interministériel n° 128/CAB/ME/MIN.BUDGET/ABS/2023 et n° 005 /CAB/MIN.FINANCES/2023 du 03 avril 2024)</w:t>
            </w:r>
          </w:p>
        </w:tc>
        <w:tc>
          <w:tcPr>
            <w:tcW w:w="2292" w:type="dxa"/>
            <w:gridSpan w:val="2"/>
            <w:shd w:val="clear" w:color="auto" w:fill="auto"/>
            <w:noWrap/>
          </w:tcPr>
          <w:p w14:paraId="149B94C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Exigence 5.2</w:t>
            </w:r>
          </w:p>
        </w:tc>
      </w:tr>
      <w:tr w:rsidR="009B6B98" w:rsidRPr="00496DF7" w14:paraId="2770DF37" w14:textId="77777777" w:rsidTr="00565083">
        <w:trPr>
          <w:trHeight w:val="315"/>
        </w:trPr>
        <w:tc>
          <w:tcPr>
            <w:tcW w:w="284" w:type="dxa"/>
            <w:shd w:val="clear" w:color="auto" w:fill="auto"/>
            <w:noWrap/>
          </w:tcPr>
          <w:p w14:paraId="3407238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6</w:t>
            </w:r>
          </w:p>
        </w:tc>
        <w:tc>
          <w:tcPr>
            <w:tcW w:w="2683" w:type="dxa"/>
            <w:shd w:val="clear" w:color="auto" w:fill="auto"/>
            <w:noWrap/>
            <w:vAlign w:val="center"/>
          </w:tcPr>
          <w:p w14:paraId="10EA3FEB" w14:textId="77777777" w:rsidR="009B6B98" w:rsidRPr="00496DF7" w:rsidRDefault="009B6B98" w:rsidP="00565083">
            <w:pPr>
              <w:jc w:val="both"/>
              <w:rPr>
                <w:rFonts w:cstheme="minorHAnsi"/>
                <w:sz w:val="16"/>
                <w:szCs w:val="16"/>
              </w:rPr>
            </w:pPr>
            <w:r w:rsidRPr="00496DF7">
              <w:rPr>
                <w:rFonts w:cstheme="minorHAnsi"/>
                <w:sz w:val="16"/>
                <w:szCs w:val="16"/>
              </w:rPr>
              <w:t xml:space="preserve">Accélérer le processus de publication, par le Premier Ministre, du Décret portant engagement du Gouvernement à mettre en œuvre l’ITIE et, par les Ministres sectoriels, de l’Arrêté interministériel portant divulgation de </w:t>
            </w:r>
            <w:r w:rsidRPr="00496DF7">
              <w:rPr>
                <w:rFonts w:cstheme="minorHAnsi"/>
                <w:sz w:val="16"/>
                <w:szCs w:val="16"/>
              </w:rPr>
              <w:lastRenderedPageBreak/>
              <w:t>la propriété effective des industries extractives</w:t>
            </w:r>
          </w:p>
        </w:tc>
        <w:tc>
          <w:tcPr>
            <w:tcW w:w="1981" w:type="dxa"/>
            <w:gridSpan w:val="2"/>
            <w:shd w:val="clear" w:color="auto" w:fill="auto"/>
            <w:noWrap/>
          </w:tcPr>
          <w:p w14:paraId="05A2E05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lastRenderedPageBreak/>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5485CF8F"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2C788C4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Premier Ministre et Ministres sectoriels</w:t>
            </w:r>
          </w:p>
        </w:tc>
        <w:tc>
          <w:tcPr>
            <w:tcW w:w="1850" w:type="dxa"/>
            <w:gridSpan w:val="2"/>
            <w:shd w:val="clear" w:color="auto" w:fill="auto"/>
            <w:noWrap/>
          </w:tcPr>
          <w:p w14:paraId="27A92AE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1FE0780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Réalisé : 2022 Loi sur la lutte contre financement du terrorisme et prolifération des armes destruction massive,  </w:t>
            </w:r>
          </w:p>
          <w:p w14:paraId="016870C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2026 : Prise d’Arrêté par </w:t>
            </w:r>
            <w:proofErr w:type="gramStart"/>
            <w:r w:rsidRPr="00496DF7">
              <w:rPr>
                <w:rFonts w:cstheme="minorHAnsi"/>
                <w:color w:val="000000"/>
                <w:sz w:val="16"/>
                <w:szCs w:val="16"/>
                <w:lang w:eastAsia="en-GB"/>
              </w:rPr>
              <w:t>le  Ministre</w:t>
            </w:r>
            <w:proofErr w:type="gramEnd"/>
            <w:r w:rsidRPr="00496DF7">
              <w:rPr>
                <w:rFonts w:cstheme="minorHAnsi"/>
                <w:color w:val="000000"/>
                <w:sz w:val="16"/>
                <w:szCs w:val="16"/>
                <w:lang w:eastAsia="en-GB"/>
              </w:rPr>
              <w:t xml:space="preserve"> de la Justice sur le RBE</w:t>
            </w:r>
          </w:p>
        </w:tc>
        <w:tc>
          <w:tcPr>
            <w:tcW w:w="2292" w:type="dxa"/>
            <w:gridSpan w:val="2"/>
            <w:shd w:val="clear" w:color="auto" w:fill="auto"/>
            <w:noWrap/>
          </w:tcPr>
          <w:p w14:paraId="1EBBD897" w14:textId="77777777" w:rsidR="009B6B98" w:rsidRPr="00496DF7" w:rsidRDefault="009B6B98" w:rsidP="00565083">
            <w:pPr>
              <w:rPr>
                <w:rFonts w:cstheme="minorHAnsi"/>
                <w:color w:val="000000"/>
                <w:sz w:val="16"/>
                <w:szCs w:val="16"/>
                <w:lang w:eastAsia="en-GB"/>
              </w:rPr>
            </w:pPr>
            <w:r w:rsidRPr="00496DF7">
              <w:rPr>
                <w:color w:val="000000"/>
                <w:sz w:val="16"/>
                <w:szCs w:val="16"/>
              </w:rPr>
              <w:t xml:space="preserve">Exigences 1.4 &amp; 2.5 : </w:t>
            </w:r>
          </w:p>
        </w:tc>
      </w:tr>
      <w:tr w:rsidR="009B6B98" w:rsidRPr="00496DF7" w14:paraId="0B98052B" w14:textId="77777777" w:rsidTr="00565083">
        <w:trPr>
          <w:trHeight w:val="315"/>
        </w:trPr>
        <w:tc>
          <w:tcPr>
            <w:tcW w:w="284" w:type="dxa"/>
            <w:shd w:val="clear" w:color="auto" w:fill="auto"/>
            <w:noWrap/>
          </w:tcPr>
          <w:p w14:paraId="3030157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7</w:t>
            </w:r>
          </w:p>
        </w:tc>
        <w:tc>
          <w:tcPr>
            <w:tcW w:w="2683" w:type="dxa"/>
            <w:shd w:val="clear" w:color="auto" w:fill="auto"/>
            <w:noWrap/>
            <w:vAlign w:val="center"/>
          </w:tcPr>
          <w:p w14:paraId="3FB43535" w14:textId="77777777" w:rsidR="009B6B98" w:rsidRPr="00496DF7" w:rsidRDefault="009B6B98" w:rsidP="00565083">
            <w:pPr>
              <w:jc w:val="both"/>
              <w:rPr>
                <w:rFonts w:cstheme="minorHAnsi"/>
                <w:sz w:val="16"/>
                <w:szCs w:val="16"/>
              </w:rPr>
            </w:pPr>
            <w:r w:rsidRPr="00496DF7">
              <w:rPr>
                <w:rFonts w:cstheme="minorHAnsi"/>
                <w:sz w:val="16"/>
                <w:szCs w:val="16"/>
              </w:rPr>
              <w:t>Sensibiliser les entreprises sur les dispositions légales et réglementaires en matière de divulgation de la propriété effective ainsi que sur l’Exigence 2.5 de la Norme ITIE</w:t>
            </w:r>
          </w:p>
        </w:tc>
        <w:tc>
          <w:tcPr>
            <w:tcW w:w="1981" w:type="dxa"/>
            <w:gridSpan w:val="2"/>
            <w:shd w:val="clear" w:color="auto" w:fill="auto"/>
            <w:noWrap/>
          </w:tcPr>
          <w:p w14:paraId="7F6A129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23576B2B"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6BB71B7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CE, CENAREF</w:t>
            </w:r>
          </w:p>
        </w:tc>
        <w:tc>
          <w:tcPr>
            <w:tcW w:w="1850" w:type="dxa"/>
            <w:gridSpan w:val="2"/>
            <w:shd w:val="clear" w:color="auto" w:fill="auto"/>
            <w:noWrap/>
          </w:tcPr>
          <w:p w14:paraId="6AA5DC6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activités 22, 23</w:t>
            </w:r>
          </w:p>
        </w:tc>
        <w:tc>
          <w:tcPr>
            <w:tcW w:w="2883" w:type="dxa"/>
            <w:gridSpan w:val="2"/>
          </w:tcPr>
          <w:p w14:paraId="78054789" w14:textId="77777777" w:rsidR="009B6B98" w:rsidRPr="00496DF7" w:rsidRDefault="009B6B98" w:rsidP="00565083">
            <w:pPr>
              <w:rPr>
                <w:rFonts w:cstheme="minorHAnsi"/>
                <w:color w:val="000000"/>
                <w:sz w:val="16"/>
                <w:szCs w:val="16"/>
                <w:lang w:eastAsia="en-GB"/>
              </w:rPr>
            </w:pPr>
            <w:proofErr w:type="gramStart"/>
            <w:r w:rsidRPr="00496DF7">
              <w:rPr>
                <w:rFonts w:cstheme="minorHAnsi"/>
                <w:color w:val="000000"/>
                <w:sz w:val="16"/>
                <w:szCs w:val="16"/>
                <w:lang w:eastAsia="en-GB"/>
              </w:rPr>
              <w:t>Réalisé:</w:t>
            </w:r>
            <w:proofErr w:type="gramEnd"/>
            <w:r w:rsidRPr="00496DF7">
              <w:rPr>
                <w:rFonts w:cstheme="minorHAnsi"/>
                <w:color w:val="000000"/>
                <w:sz w:val="16"/>
                <w:szCs w:val="16"/>
                <w:lang w:eastAsia="en-GB"/>
              </w:rPr>
              <w:t xml:space="preserve"> Plusieurs ateliers </w:t>
            </w:r>
            <w:proofErr w:type="spellStart"/>
            <w:r w:rsidRPr="00496DF7">
              <w:rPr>
                <w:rFonts w:cstheme="minorHAnsi"/>
                <w:color w:val="000000"/>
                <w:sz w:val="16"/>
                <w:szCs w:val="16"/>
                <w:lang w:eastAsia="en-GB"/>
              </w:rPr>
              <w:t>realisés</w:t>
            </w:r>
            <w:proofErr w:type="spellEnd"/>
            <w:r w:rsidRPr="00496DF7">
              <w:rPr>
                <w:rFonts w:cstheme="minorHAnsi"/>
                <w:color w:val="000000"/>
                <w:sz w:val="16"/>
                <w:szCs w:val="16"/>
                <w:lang w:eastAsia="en-GB"/>
              </w:rPr>
              <w:t xml:space="preserve">, les plus </w:t>
            </w:r>
            <w:proofErr w:type="spellStart"/>
            <w:r w:rsidRPr="00496DF7">
              <w:rPr>
                <w:rFonts w:cstheme="minorHAnsi"/>
                <w:color w:val="000000"/>
                <w:sz w:val="16"/>
                <w:szCs w:val="16"/>
                <w:lang w:eastAsia="en-GB"/>
              </w:rPr>
              <w:t>recents</w:t>
            </w:r>
            <w:proofErr w:type="spellEnd"/>
            <w:r w:rsidRPr="00496DF7">
              <w:rPr>
                <w:rFonts w:cstheme="minorHAnsi"/>
                <w:color w:val="000000"/>
                <w:sz w:val="16"/>
                <w:szCs w:val="16"/>
                <w:lang w:eastAsia="en-GB"/>
              </w:rPr>
              <w:t xml:space="preserve"> en juin 2026  à Lubumbashi, Likasi et Kolwezi</w:t>
            </w:r>
          </w:p>
        </w:tc>
        <w:tc>
          <w:tcPr>
            <w:tcW w:w="2292" w:type="dxa"/>
            <w:gridSpan w:val="2"/>
            <w:shd w:val="clear" w:color="auto" w:fill="auto"/>
            <w:noWrap/>
          </w:tcPr>
          <w:p w14:paraId="7D965717" w14:textId="77777777" w:rsidR="009B6B98" w:rsidRPr="00496DF7" w:rsidRDefault="009B6B98" w:rsidP="00565083">
            <w:pPr>
              <w:rPr>
                <w:rFonts w:cstheme="minorHAnsi"/>
                <w:color w:val="000000"/>
                <w:sz w:val="16"/>
                <w:szCs w:val="16"/>
                <w:lang w:eastAsia="en-GB"/>
              </w:rPr>
            </w:pPr>
            <w:r w:rsidRPr="00496DF7">
              <w:rPr>
                <w:color w:val="000000"/>
                <w:sz w:val="16"/>
                <w:szCs w:val="16"/>
              </w:rPr>
              <w:t>Exigence 2.5</w:t>
            </w:r>
          </w:p>
        </w:tc>
      </w:tr>
      <w:tr w:rsidR="009B6B98" w:rsidRPr="00496DF7" w14:paraId="1F024C0E" w14:textId="77777777" w:rsidTr="00565083">
        <w:trPr>
          <w:trHeight w:val="315"/>
        </w:trPr>
        <w:tc>
          <w:tcPr>
            <w:tcW w:w="284" w:type="dxa"/>
            <w:shd w:val="clear" w:color="auto" w:fill="auto"/>
            <w:noWrap/>
          </w:tcPr>
          <w:p w14:paraId="620B072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8</w:t>
            </w:r>
          </w:p>
        </w:tc>
        <w:tc>
          <w:tcPr>
            <w:tcW w:w="2683" w:type="dxa"/>
            <w:shd w:val="clear" w:color="auto" w:fill="auto"/>
            <w:noWrap/>
            <w:vAlign w:val="center"/>
          </w:tcPr>
          <w:p w14:paraId="5C1F5144" w14:textId="77777777" w:rsidR="009B6B98" w:rsidRPr="00496DF7" w:rsidRDefault="009B6B98" w:rsidP="00565083">
            <w:pPr>
              <w:jc w:val="both"/>
              <w:rPr>
                <w:rFonts w:cstheme="minorHAnsi"/>
                <w:sz w:val="16"/>
                <w:szCs w:val="16"/>
              </w:rPr>
            </w:pPr>
            <w:r w:rsidRPr="00496DF7">
              <w:rPr>
                <w:rFonts w:cstheme="minorHAnsi"/>
                <w:sz w:val="16"/>
                <w:szCs w:val="16"/>
              </w:rPr>
              <w:t>Absence systématique de la preuve de blocage du montant relatif à la capacité financière du requérant</w:t>
            </w:r>
          </w:p>
        </w:tc>
        <w:tc>
          <w:tcPr>
            <w:tcW w:w="1981" w:type="dxa"/>
            <w:gridSpan w:val="2"/>
            <w:shd w:val="clear" w:color="auto" w:fill="auto"/>
            <w:noWrap/>
          </w:tcPr>
          <w:p w14:paraId="387D8A9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433A0052"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232B183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474DBCD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0C5183E8"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vAlign w:val="center"/>
          </w:tcPr>
          <w:p w14:paraId="2E3E16ED" w14:textId="77777777" w:rsidR="009B6B98" w:rsidRPr="00496DF7" w:rsidRDefault="009B6B98" w:rsidP="00565083">
            <w:pPr>
              <w:rPr>
                <w:rFonts w:cstheme="minorHAnsi"/>
                <w:color w:val="000000"/>
                <w:sz w:val="16"/>
                <w:szCs w:val="16"/>
                <w:lang w:eastAsia="en-GB"/>
              </w:rPr>
            </w:pPr>
            <w:r w:rsidRPr="00496DF7">
              <w:rPr>
                <w:color w:val="000000"/>
                <w:sz w:val="16"/>
                <w:szCs w:val="16"/>
              </w:rPr>
              <w:t>Exigences 2.2 &amp; 2.3 : fiabilité et cohérence des actes d’octroi et du registre minier.</w:t>
            </w:r>
          </w:p>
        </w:tc>
      </w:tr>
      <w:tr w:rsidR="009B6B98" w:rsidRPr="00496DF7" w14:paraId="5E266413" w14:textId="77777777" w:rsidTr="00565083">
        <w:trPr>
          <w:trHeight w:val="315"/>
        </w:trPr>
        <w:tc>
          <w:tcPr>
            <w:tcW w:w="284" w:type="dxa"/>
            <w:shd w:val="clear" w:color="auto" w:fill="auto"/>
            <w:noWrap/>
          </w:tcPr>
          <w:p w14:paraId="362C734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9</w:t>
            </w:r>
          </w:p>
        </w:tc>
        <w:tc>
          <w:tcPr>
            <w:tcW w:w="2683" w:type="dxa"/>
            <w:shd w:val="clear" w:color="auto" w:fill="auto"/>
            <w:noWrap/>
            <w:vAlign w:val="center"/>
          </w:tcPr>
          <w:p w14:paraId="624F3B7D" w14:textId="77777777" w:rsidR="009B6B98" w:rsidRPr="00496DF7" w:rsidRDefault="009B6B98" w:rsidP="00565083">
            <w:pPr>
              <w:jc w:val="both"/>
              <w:rPr>
                <w:rFonts w:cstheme="minorHAnsi"/>
                <w:sz w:val="16"/>
                <w:szCs w:val="16"/>
              </w:rPr>
            </w:pPr>
            <w:r w:rsidRPr="00496DF7">
              <w:rPr>
                <w:rFonts w:cstheme="minorHAnsi"/>
                <w:sz w:val="16"/>
                <w:szCs w:val="16"/>
              </w:rPr>
              <w:t>Absence systématique de certains documents exigés par la règlementation minière dans tous les dossiers de demandes des droits miniers ou de carrières</w:t>
            </w:r>
          </w:p>
        </w:tc>
        <w:tc>
          <w:tcPr>
            <w:tcW w:w="1981" w:type="dxa"/>
            <w:gridSpan w:val="2"/>
            <w:shd w:val="clear" w:color="auto" w:fill="auto"/>
            <w:noWrap/>
          </w:tcPr>
          <w:p w14:paraId="14AA1C4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5D0C9368"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467FEA0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3441E1F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5E859465"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 : Corrections apportées par le CAMI</w:t>
            </w:r>
          </w:p>
        </w:tc>
        <w:tc>
          <w:tcPr>
            <w:tcW w:w="2292" w:type="dxa"/>
            <w:gridSpan w:val="2"/>
            <w:shd w:val="clear" w:color="auto" w:fill="auto"/>
            <w:noWrap/>
            <w:vAlign w:val="center"/>
          </w:tcPr>
          <w:p w14:paraId="459AC939" w14:textId="77777777" w:rsidR="009B6B98" w:rsidRPr="00496DF7" w:rsidRDefault="009B6B98" w:rsidP="00565083">
            <w:pPr>
              <w:rPr>
                <w:rFonts w:cstheme="minorHAnsi"/>
                <w:color w:val="000000"/>
                <w:sz w:val="16"/>
                <w:szCs w:val="16"/>
                <w:lang w:eastAsia="en-GB"/>
              </w:rPr>
            </w:pPr>
            <w:r w:rsidRPr="00496DF7">
              <w:rPr>
                <w:color w:val="000000"/>
                <w:sz w:val="16"/>
                <w:szCs w:val="16"/>
              </w:rPr>
              <w:t>Exigence 2.4 et transparence des transferts : publication des conditions financières des cessions.</w:t>
            </w:r>
          </w:p>
        </w:tc>
      </w:tr>
      <w:tr w:rsidR="009B6B98" w:rsidRPr="00496DF7" w14:paraId="6C83EB9B" w14:textId="77777777" w:rsidTr="00565083">
        <w:trPr>
          <w:trHeight w:val="315"/>
        </w:trPr>
        <w:tc>
          <w:tcPr>
            <w:tcW w:w="284" w:type="dxa"/>
            <w:shd w:val="clear" w:color="auto" w:fill="auto"/>
            <w:noWrap/>
          </w:tcPr>
          <w:p w14:paraId="01DA1AF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10</w:t>
            </w:r>
          </w:p>
        </w:tc>
        <w:tc>
          <w:tcPr>
            <w:tcW w:w="2683" w:type="dxa"/>
            <w:shd w:val="clear" w:color="auto" w:fill="auto"/>
            <w:noWrap/>
          </w:tcPr>
          <w:p w14:paraId="274995C7" w14:textId="77777777" w:rsidR="009B6B98" w:rsidRPr="00496DF7" w:rsidRDefault="009B6B98" w:rsidP="00565083">
            <w:pPr>
              <w:rPr>
                <w:rFonts w:cstheme="minorHAnsi"/>
                <w:sz w:val="16"/>
                <w:szCs w:val="16"/>
              </w:rPr>
            </w:pPr>
            <w:r w:rsidRPr="00496DF7">
              <w:rPr>
                <w:rFonts w:cstheme="minorHAnsi"/>
                <w:sz w:val="16"/>
                <w:szCs w:val="16"/>
              </w:rPr>
              <w:t>Dépassements des délais règlementaires pour l’instruction des demandes de droits miniers</w:t>
            </w:r>
          </w:p>
        </w:tc>
        <w:tc>
          <w:tcPr>
            <w:tcW w:w="1981" w:type="dxa"/>
            <w:gridSpan w:val="2"/>
            <w:shd w:val="clear" w:color="auto" w:fill="auto"/>
            <w:noWrap/>
          </w:tcPr>
          <w:p w14:paraId="4D03CC8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25CA7B10" w14:textId="77777777" w:rsidR="009B6B98" w:rsidRPr="00496DF7" w:rsidRDefault="009B6B98" w:rsidP="00565083">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63DFDFB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1E97481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2CB4E8C1"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 : Corrections apportées par le CAMI</w:t>
            </w:r>
          </w:p>
        </w:tc>
        <w:tc>
          <w:tcPr>
            <w:tcW w:w="2292" w:type="dxa"/>
            <w:gridSpan w:val="2"/>
            <w:shd w:val="clear" w:color="auto" w:fill="auto"/>
            <w:noWrap/>
            <w:vAlign w:val="center"/>
          </w:tcPr>
          <w:p w14:paraId="33520483" w14:textId="77777777" w:rsidR="009B6B98" w:rsidRPr="00496DF7" w:rsidRDefault="009B6B98" w:rsidP="00565083">
            <w:pPr>
              <w:rPr>
                <w:rFonts w:cstheme="minorHAnsi"/>
                <w:color w:val="000000"/>
                <w:sz w:val="16"/>
                <w:szCs w:val="16"/>
                <w:lang w:eastAsia="en-GB"/>
              </w:rPr>
            </w:pPr>
            <w:r w:rsidRPr="00496DF7">
              <w:rPr>
                <w:color w:val="000000"/>
                <w:sz w:val="16"/>
                <w:szCs w:val="16"/>
              </w:rPr>
              <w:t>Exigence 2.2 : respect des conditions légales d’octroi et de participation de l’État.</w:t>
            </w:r>
          </w:p>
        </w:tc>
      </w:tr>
      <w:tr w:rsidR="009B6B98" w:rsidRPr="00496DF7" w14:paraId="6F79E7F4" w14:textId="77777777" w:rsidTr="00565083">
        <w:trPr>
          <w:trHeight w:val="315"/>
        </w:trPr>
        <w:tc>
          <w:tcPr>
            <w:tcW w:w="284" w:type="dxa"/>
            <w:shd w:val="clear" w:color="auto" w:fill="auto"/>
            <w:noWrap/>
          </w:tcPr>
          <w:p w14:paraId="1BF2873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11</w:t>
            </w:r>
          </w:p>
        </w:tc>
        <w:tc>
          <w:tcPr>
            <w:tcW w:w="2683" w:type="dxa"/>
            <w:shd w:val="clear" w:color="auto" w:fill="auto"/>
            <w:noWrap/>
          </w:tcPr>
          <w:p w14:paraId="423AA7E4" w14:textId="77777777" w:rsidR="009B6B98" w:rsidRPr="00496DF7" w:rsidRDefault="009B6B98" w:rsidP="00565083">
            <w:pPr>
              <w:rPr>
                <w:rFonts w:cstheme="minorHAnsi"/>
                <w:sz w:val="16"/>
                <w:szCs w:val="16"/>
              </w:rPr>
            </w:pPr>
            <w:r w:rsidRPr="00496DF7">
              <w:rPr>
                <w:rFonts w:cstheme="minorHAnsi"/>
                <w:sz w:val="16"/>
                <w:szCs w:val="16"/>
              </w:rPr>
              <w:t>Dépassements du nombre de carrés maximum pour certaines autorisations de recherche de carrières</w:t>
            </w:r>
          </w:p>
        </w:tc>
        <w:tc>
          <w:tcPr>
            <w:tcW w:w="1981" w:type="dxa"/>
            <w:gridSpan w:val="2"/>
            <w:shd w:val="clear" w:color="auto" w:fill="auto"/>
            <w:noWrap/>
          </w:tcPr>
          <w:p w14:paraId="5F47BE4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5E5B8B93" w14:textId="77777777" w:rsidR="009B6B98" w:rsidRPr="00496DF7" w:rsidRDefault="009B6B98" w:rsidP="00565083">
            <w:pPr>
              <w:rPr>
                <w:rFonts w:cstheme="minorHAnsi"/>
                <w:color w:val="000000"/>
                <w:sz w:val="18"/>
                <w:szCs w:val="18"/>
                <w:lang w:eastAsia="en-GB"/>
              </w:rPr>
            </w:pPr>
            <w:r w:rsidRPr="00496DF7">
              <w:rPr>
                <w:color w:val="000000"/>
                <w:sz w:val="18"/>
                <w:szCs w:val="18"/>
              </w:rPr>
              <w:t>Élevé</w:t>
            </w:r>
          </w:p>
        </w:tc>
        <w:tc>
          <w:tcPr>
            <w:tcW w:w="1930" w:type="dxa"/>
            <w:gridSpan w:val="3"/>
            <w:shd w:val="clear" w:color="auto" w:fill="auto"/>
            <w:noWrap/>
          </w:tcPr>
          <w:p w14:paraId="790661D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04E3597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20EC9356"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 : Corrections apportées par le CAMI</w:t>
            </w:r>
          </w:p>
        </w:tc>
        <w:tc>
          <w:tcPr>
            <w:tcW w:w="2292" w:type="dxa"/>
            <w:gridSpan w:val="2"/>
            <w:shd w:val="clear" w:color="auto" w:fill="auto"/>
            <w:noWrap/>
            <w:vAlign w:val="center"/>
          </w:tcPr>
          <w:p w14:paraId="2EDD00F1" w14:textId="77777777" w:rsidR="009B6B98" w:rsidRPr="00496DF7" w:rsidRDefault="009B6B98" w:rsidP="00565083">
            <w:pPr>
              <w:rPr>
                <w:rFonts w:cstheme="minorHAnsi"/>
                <w:color w:val="000000"/>
                <w:sz w:val="16"/>
                <w:szCs w:val="16"/>
                <w:lang w:eastAsia="en-GB"/>
              </w:rPr>
            </w:pPr>
            <w:r w:rsidRPr="00496DF7">
              <w:rPr>
                <w:color w:val="000000"/>
                <w:sz w:val="16"/>
                <w:szCs w:val="16"/>
              </w:rPr>
              <w:t>Exigences 2.2 &amp; 2.3 : conformité des demandes et amélioration de la qualité du registre.</w:t>
            </w:r>
          </w:p>
        </w:tc>
      </w:tr>
      <w:tr w:rsidR="009B6B98" w:rsidRPr="00496DF7" w14:paraId="1CFCF6A6" w14:textId="77777777" w:rsidTr="00565083">
        <w:trPr>
          <w:trHeight w:val="315"/>
        </w:trPr>
        <w:tc>
          <w:tcPr>
            <w:tcW w:w="284" w:type="dxa"/>
            <w:shd w:val="clear" w:color="auto" w:fill="auto"/>
            <w:noWrap/>
          </w:tcPr>
          <w:p w14:paraId="32C463A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12</w:t>
            </w:r>
          </w:p>
        </w:tc>
        <w:tc>
          <w:tcPr>
            <w:tcW w:w="2683" w:type="dxa"/>
            <w:shd w:val="clear" w:color="auto" w:fill="auto"/>
            <w:noWrap/>
          </w:tcPr>
          <w:p w14:paraId="332F68EA" w14:textId="77777777" w:rsidR="009B6B98" w:rsidRPr="00496DF7" w:rsidRDefault="009B6B98" w:rsidP="00565083">
            <w:pPr>
              <w:rPr>
                <w:rFonts w:cstheme="minorHAnsi"/>
                <w:sz w:val="16"/>
                <w:szCs w:val="16"/>
              </w:rPr>
            </w:pPr>
            <w:r w:rsidRPr="00496DF7">
              <w:rPr>
                <w:rFonts w:cstheme="minorHAnsi"/>
                <w:sz w:val="16"/>
                <w:szCs w:val="16"/>
              </w:rPr>
              <w:t>Frais de dépôt payés par le requérant pour un nombre de carrés inférieur à celui octroyé et capacité financière minimum insuffisante</w:t>
            </w:r>
          </w:p>
        </w:tc>
        <w:tc>
          <w:tcPr>
            <w:tcW w:w="1981" w:type="dxa"/>
            <w:gridSpan w:val="2"/>
            <w:shd w:val="clear" w:color="auto" w:fill="auto"/>
            <w:noWrap/>
          </w:tcPr>
          <w:p w14:paraId="3CD8A6C9" w14:textId="77777777" w:rsidR="009B6B98" w:rsidRPr="00496DF7" w:rsidRDefault="009B6B98" w:rsidP="00565083">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5E833553" w14:textId="77777777" w:rsidR="009B6B98" w:rsidRPr="00496DF7" w:rsidRDefault="009B6B98" w:rsidP="00565083">
            <w:pPr>
              <w:rPr>
                <w:rFonts w:cstheme="minorHAnsi"/>
                <w:color w:val="000000"/>
                <w:sz w:val="18"/>
                <w:szCs w:val="18"/>
                <w:lang w:eastAsia="en-GB"/>
              </w:rPr>
            </w:pPr>
            <w:r w:rsidRPr="00496DF7">
              <w:rPr>
                <w:color w:val="000000"/>
                <w:sz w:val="18"/>
                <w:szCs w:val="18"/>
              </w:rPr>
              <w:t>Élevé</w:t>
            </w:r>
          </w:p>
        </w:tc>
        <w:tc>
          <w:tcPr>
            <w:tcW w:w="1930" w:type="dxa"/>
            <w:gridSpan w:val="3"/>
            <w:shd w:val="clear" w:color="auto" w:fill="auto"/>
            <w:noWrap/>
          </w:tcPr>
          <w:p w14:paraId="6AA195D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53FED13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71AC2E72"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 : Corrections apportées par le CAMI</w:t>
            </w:r>
          </w:p>
        </w:tc>
        <w:tc>
          <w:tcPr>
            <w:tcW w:w="2292" w:type="dxa"/>
            <w:gridSpan w:val="2"/>
            <w:shd w:val="clear" w:color="auto" w:fill="auto"/>
            <w:noWrap/>
            <w:vAlign w:val="center"/>
          </w:tcPr>
          <w:p w14:paraId="757ECFF6" w14:textId="77777777" w:rsidR="009B6B98" w:rsidRPr="00496DF7" w:rsidRDefault="009B6B98" w:rsidP="00565083">
            <w:pPr>
              <w:rPr>
                <w:rFonts w:cstheme="minorHAnsi"/>
                <w:color w:val="000000"/>
                <w:sz w:val="16"/>
                <w:szCs w:val="16"/>
                <w:lang w:eastAsia="en-GB"/>
              </w:rPr>
            </w:pPr>
            <w:r w:rsidRPr="00496DF7">
              <w:rPr>
                <w:color w:val="000000"/>
                <w:sz w:val="16"/>
                <w:szCs w:val="16"/>
              </w:rPr>
              <w:t>Exigences 2.2 &amp; 2.4 : transparence du registre pétrolier et accessibilité des informations sur les permis et contrats.</w:t>
            </w:r>
          </w:p>
        </w:tc>
      </w:tr>
      <w:tr w:rsidR="009B6B98" w:rsidRPr="00496DF7" w14:paraId="5E96B3A4" w14:textId="77777777" w:rsidTr="00565083">
        <w:trPr>
          <w:trHeight w:val="315"/>
        </w:trPr>
        <w:tc>
          <w:tcPr>
            <w:tcW w:w="284" w:type="dxa"/>
            <w:shd w:val="clear" w:color="auto" w:fill="auto"/>
            <w:noWrap/>
          </w:tcPr>
          <w:p w14:paraId="2F8EEF8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13</w:t>
            </w:r>
          </w:p>
        </w:tc>
        <w:tc>
          <w:tcPr>
            <w:tcW w:w="2683" w:type="dxa"/>
            <w:shd w:val="clear" w:color="auto" w:fill="auto"/>
            <w:noWrap/>
          </w:tcPr>
          <w:p w14:paraId="19881B36" w14:textId="77777777" w:rsidR="009B6B98" w:rsidRPr="00496DF7" w:rsidRDefault="009B6B98" w:rsidP="00565083">
            <w:pPr>
              <w:rPr>
                <w:rFonts w:cstheme="minorHAnsi"/>
                <w:sz w:val="16"/>
                <w:szCs w:val="16"/>
              </w:rPr>
            </w:pPr>
            <w:r w:rsidRPr="00496DF7">
              <w:rPr>
                <w:rFonts w:cstheme="minorHAnsi"/>
                <w:sz w:val="16"/>
                <w:szCs w:val="16"/>
              </w:rPr>
              <w:t>Incohérence entre le certificat de recherches et l’arrêté ministériel d’octroi du permis de recherches PR 14731</w:t>
            </w:r>
          </w:p>
        </w:tc>
        <w:tc>
          <w:tcPr>
            <w:tcW w:w="1981" w:type="dxa"/>
            <w:gridSpan w:val="2"/>
            <w:shd w:val="clear" w:color="auto" w:fill="auto"/>
            <w:noWrap/>
          </w:tcPr>
          <w:p w14:paraId="1588A230" w14:textId="77777777" w:rsidR="009B6B98" w:rsidRPr="00496DF7" w:rsidRDefault="009B6B98" w:rsidP="00565083">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35C2CE6D" w14:textId="77777777" w:rsidR="009B6B98" w:rsidRPr="00496DF7" w:rsidRDefault="009B6B98" w:rsidP="00565083">
            <w:pPr>
              <w:rPr>
                <w:rFonts w:cstheme="minorHAnsi"/>
                <w:color w:val="000000"/>
                <w:sz w:val="18"/>
                <w:szCs w:val="18"/>
                <w:lang w:eastAsia="en-GB"/>
              </w:rPr>
            </w:pPr>
            <w:r w:rsidRPr="00496DF7">
              <w:rPr>
                <w:color w:val="000000"/>
                <w:sz w:val="18"/>
                <w:szCs w:val="18"/>
              </w:rPr>
              <w:t>Moyen</w:t>
            </w:r>
          </w:p>
        </w:tc>
        <w:tc>
          <w:tcPr>
            <w:tcW w:w="1930" w:type="dxa"/>
            <w:gridSpan w:val="3"/>
            <w:shd w:val="clear" w:color="auto" w:fill="auto"/>
            <w:noWrap/>
          </w:tcPr>
          <w:p w14:paraId="0D75EDE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0034D3F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05B4A026"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 : Corrections apportées par le CAMI</w:t>
            </w:r>
          </w:p>
        </w:tc>
        <w:tc>
          <w:tcPr>
            <w:tcW w:w="2292" w:type="dxa"/>
            <w:gridSpan w:val="2"/>
            <w:shd w:val="clear" w:color="auto" w:fill="auto"/>
            <w:noWrap/>
          </w:tcPr>
          <w:p w14:paraId="7D70771E" w14:textId="77777777" w:rsidR="009B6B98" w:rsidRPr="00496DF7" w:rsidRDefault="009B6B98" w:rsidP="00565083">
            <w:pPr>
              <w:rPr>
                <w:rFonts w:cstheme="minorHAnsi"/>
                <w:color w:val="000000"/>
                <w:sz w:val="16"/>
                <w:szCs w:val="16"/>
                <w:lang w:eastAsia="en-GB"/>
              </w:rPr>
            </w:pPr>
            <w:r w:rsidRPr="00496DF7">
              <w:rPr>
                <w:color w:val="000000"/>
                <w:sz w:val="16"/>
                <w:szCs w:val="16"/>
              </w:rPr>
              <w:t>Exigences 2.2 et 2.4 : complétude et accessibilité du registre pétrolier et des actes de prorogation.</w:t>
            </w:r>
          </w:p>
        </w:tc>
      </w:tr>
      <w:tr w:rsidR="009B6B98" w:rsidRPr="00496DF7" w14:paraId="78ED60AE" w14:textId="77777777" w:rsidTr="00565083">
        <w:trPr>
          <w:trHeight w:val="315"/>
        </w:trPr>
        <w:tc>
          <w:tcPr>
            <w:tcW w:w="284" w:type="dxa"/>
            <w:shd w:val="clear" w:color="auto" w:fill="auto"/>
            <w:noWrap/>
          </w:tcPr>
          <w:p w14:paraId="56768A4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14</w:t>
            </w:r>
          </w:p>
        </w:tc>
        <w:tc>
          <w:tcPr>
            <w:tcW w:w="2683" w:type="dxa"/>
            <w:shd w:val="clear" w:color="auto" w:fill="auto"/>
            <w:noWrap/>
            <w:vAlign w:val="center"/>
          </w:tcPr>
          <w:p w14:paraId="1CA458C8" w14:textId="77777777" w:rsidR="009B6B98" w:rsidRPr="00496DF7" w:rsidRDefault="009B6B98" w:rsidP="00565083">
            <w:pPr>
              <w:jc w:val="both"/>
              <w:rPr>
                <w:rFonts w:cstheme="minorHAnsi"/>
                <w:sz w:val="16"/>
                <w:szCs w:val="16"/>
              </w:rPr>
            </w:pPr>
            <w:r w:rsidRPr="00496DF7">
              <w:rPr>
                <w:rFonts w:cstheme="minorHAnsi"/>
                <w:sz w:val="16"/>
                <w:szCs w:val="16"/>
              </w:rPr>
              <w:t>Absence du prix de cession dans les contrats de cession des titres miniers</w:t>
            </w:r>
          </w:p>
        </w:tc>
        <w:tc>
          <w:tcPr>
            <w:tcW w:w="1981" w:type="dxa"/>
            <w:gridSpan w:val="2"/>
            <w:shd w:val="clear" w:color="auto" w:fill="auto"/>
            <w:noWrap/>
          </w:tcPr>
          <w:p w14:paraId="67EEBBF5" w14:textId="77777777" w:rsidR="009B6B98" w:rsidRPr="00496DF7" w:rsidRDefault="009B6B98" w:rsidP="00565083">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4CAD94E6" w14:textId="77777777" w:rsidR="009B6B98" w:rsidRPr="00496DF7" w:rsidRDefault="009B6B98" w:rsidP="00565083">
            <w:pPr>
              <w:rPr>
                <w:rFonts w:cstheme="minorHAnsi"/>
                <w:color w:val="000000"/>
                <w:sz w:val="16"/>
                <w:szCs w:val="16"/>
                <w:lang w:eastAsia="en-GB"/>
              </w:rPr>
            </w:pPr>
          </w:p>
        </w:tc>
        <w:tc>
          <w:tcPr>
            <w:tcW w:w="1930" w:type="dxa"/>
            <w:gridSpan w:val="3"/>
            <w:shd w:val="clear" w:color="auto" w:fill="auto"/>
            <w:noWrap/>
          </w:tcPr>
          <w:p w14:paraId="3A360EC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46E2A0B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7F3D83CB"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tcPr>
          <w:p w14:paraId="75F5FCBA" w14:textId="77777777" w:rsidR="009B6B98" w:rsidRPr="00496DF7" w:rsidRDefault="009B6B98" w:rsidP="00565083">
            <w:pPr>
              <w:rPr>
                <w:rFonts w:cstheme="minorHAnsi"/>
                <w:color w:val="000000"/>
                <w:sz w:val="16"/>
                <w:szCs w:val="16"/>
                <w:lang w:eastAsia="en-GB"/>
              </w:rPr>
            </w:pPr>
          </w:p>
        </w:tc>
      </w:tr>
      <w:tr w:rsidR="009B6B98" w:rsidRPr="00496DF7" w14:paraId="6665E0B7" w14:textId="77777777" w:rsidTr="00565083">
        <w:trPr>
          <w:trHeight w:val="315"/>
        </w:trPr>
        <w:tc>
          <w:tcPr>
            <w:tcW w:w="284" w:type="dxa"/>
            <w:shd w:val="clear" w:color="auto" w:fill="auto"/>
            <w:noWrap/>
          </w:tcPr>
          <w:p w14:paraId="45A2EFD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15</w:t>
            </w:r>
          </w:p>
        </w:tc>
        <w:tc>
          <w:tcPr>
            <w:tcW w:w="2683" w:type="dxa"/>
            <w:shd w:val="clear" w:color="auto" w:fill="auto"/>
            <w:noWrap/>
            <w:vAlign w:val="center"/>
          </w:tcPr>
          <w:p w14:paraId="16D70177" w14:textId="77777777" w:rsidR="009B6B98" w:rsidRPr="00496DF7" w:rsidRDefault="009B6B98" w:rsidP="00565083">
            <w:pPr>
              <w:jc w:val="both"/>
              <w:rPr>
                <w:rFonts w:cstheme="minorHAnsi"/>
                <w:sz w:val="16"/>
                <w:szCs w:val="16"/>
              </w:rPr>
            </w:pPr>
            <w:r w:rsidRPr="00496DF7">
              <w:rPr>
                <w:rFonts w:cstheme="minorHAnsi"/>
                <w:sz w:val="16"/>
                <w:szCs w:val="16"/>
              </w:rPr>
              <w:t>Absence des engagements de cession de 10% à l’Etat dans les dossiers d’octroi des permis d’exploitation</w:t>
            </w:r>
          </w:p>
        </w:tc>
        <w:tc>
          <w:tcPr>
            <w:tcW w:w="1981" w:type="dxa"/>
            <w:gridSpan w:val="2"/>
            <w:shd w:val="clear" w:color="auto" w:fill="auto"/>
            <w:noWrap/>
          </w:tcPr>
          <w:p w14:paraId="515FF238" w14:textId="77777777" w:rsidR="009B6B98" w:rsidRPr="00496DF7" w:rsidRDefault="009B6B98" w:rsidP="00565083">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68DC2CD3" w14:textId="77777777" w:rsidR="009B6B98" w:rsidRPr="00496DF7" w:rsidRDefault="009B6B98" w:rsidP="00565083">
            <w:pPr>
              <w:rPr>
                <w:rFonts w:cstheme="minorHAnsi"/>
                <w:color w:val="000000"/>
                <w:sz w:val="16"/>
                <w:szCs w:val="16"/>
                <w:lang w:eastAsia="en-GB"/>
              </w:rPr>
            </w:pPr>
          </w:p>
        </w:tc>
        <w:tc>
          <w:tcPr>
            <w:tcW w:w="1930" w:type="dxa"/>
            <w:gridSpan w:val="3"/>
            <w:shd w:val="clear" w:color="auto" w:fill="auto"/>
            <w:noWrap/>
          </w:tcPr>
          <w:p w14:paraId="61B09CB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4F7971FF"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01172918"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tcPr>
          <w:p w14:paraId="70902EF2" w14:textId="77777777" w:rsidR="009B6B98" w:rsidRPr="00496DF7" w:rsidRDefault="009B6B98" w:rsidP="00565083">
            <w:pPr>
              <w:rPr>
                <w:rFonts w:cstheme="minorHAnsi"/>
                <w:color w:val="000000"/>
                <w:sz w:val="16"/>
                <w:szCs w:val="16"/>
                <w:lang w:eastAsia="en-GB"/>
              </w:rPr>
            </w:pPr>
          </w:p>
        </w:tc>
      </w:tr>
      <w:tr w:rsidR="009B6B98" w:rsidRPr="00496DF7" w14:paraId="6A0A9CE5" w14:textId="77777777" w:rsidTr="00565083">
        <w:trPr>
          <w:trHeight w:val="315"/>
        </w:trPr>
        <w:tc>
          <w:tcPr>
            <w:tcW w:w="284" w:type="dxa"/>
            <w:shd w:val="clear" w:color="auto" w:fill="auto"/>
            <w:noWrap/>
          </w:tcPr>
          <w:p w14:paraId="6D6AB9F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16</w:t>
            </w:r>
          </w:p>
        </w:tc>
        <w:tc>
          <w:tcPr>
            <w:tcW w:w="2683" w:type="dxa"/>
            <w:shd w:val="clear" w:color="auto" w:fill="auto"/>
            <w:noWrap/>
            <w:vAlign w:val="center"/>
          </w:tcPr>
          <w:p w14:paraId="326C8794" w14:textId="77777777" w:rsidR="009B6B98" w:rsidRPr="00496DF7" w:rsidRDefault="009B6B98" w:rsidP="00565083">
            <w:pPr>
              <w:jc w:val="both"/>
              <w:rPr>
                <w:rFonts w:cstheme="minorHAnsi"/>
                <w:sz w:val="16"/>
                <w:szCs w:val="16"/>
              </w:rPr>
            </w:pPr>
            <w:r w:rsidRPr="00496DF7">
              <w:rPr>
                <w:rFonts w:cstheme="minorHAnsi"/>
                <w:sz w:val="16"/>
                <w:szCs w:val="16"/>
              </w:rPr>
              <w:t>Demandes de titres miniers non conformes aux exigences réglementaires</w:t>
            </w:r>
          </w:p>
        </w:tc>
        <w:tc>
          <w:tcPr>
            <w:tcW w:w="1981" w:type="dxa"/>
            <w:gridSpan w:val="2"/>
            <w:shd w:val="clear" w:color="auto" w:fill="auto"/>
            <w:noWrap/>
          </w:tcPr>
          <w:p w14:paraId="089A0C9D" w14:textId="77777777" w:rsidR="009B6B98" w:rsidRPr="00496DF7" w:rsidRDefault="009B6B98" w:rsidP="00565083">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18E2A054" w14:textId="77777777" w:rsidR="009B6B98" w:rsidRPr="00496DF7" w:rsidRDefault="009B6B98" w:rsidP="00565083">
            <w:pPr>
              <w:rPr>
                <w:rFonts w:cstheme="minorHAnsi"/>
                <w:color w:val="000000"/>
                <w:sz w:val="16"/>
                <w:szCs w:val="16"/>
                <w:lang w:eastAsia="en-GB"/>
              </w:rPr>
            </w:pPr>
          </w:p>
        </w:tc>
        <w:tc>
          <w:tcPr>
            <w:tcW w:w="1930" w:type="dxa"/>
            <w:gridSpan w:val="3"/>
            <w:shd w:val="clear" w:color="auto" w:fill="auto"/>
            <w:noWrap/>
          </w:tcPr>
          <w:p w14:paraId="492D805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71A0A06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3A368EB9" w14:textId="77777777" w:rsidR="009B6B98" w:rsidRPr="00496DF7" w:rsidRDefault="009B6B98" w:rsidP="00565083">
            <w:pPr>
              <w:rPr>
                <w:sz w:val="16"/>
                <w:szCs w:val="16"/>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tcPr>
          <w:p w14:paraId="5A0E1A0F" w14:textId="77777777" w:rsidR="009B6B98" w:rsidRPr="00496DF7" w:rsidRDefault="009B6B98" w:rsidP="00565083">
            <w:pPr>
              <w:rPr>
                <w:rFonts w:cstheme="minorHAnsi"/>
                <w:color w:val="000000"/>
                <w:sz w:val="16"/>
                <w:szCs w:val="16"/>
                <w:lang w:eastAsia="en-GB"/>
              </w:rPr>
            </w:pPr>
          </w:p>
        </w:tc>
      </w:tr>
      <w:tr w:rsidR="009B6B98" w:rsidRPr="00496DF7" w14:paraId="5F7215CE" w14:textId="77777777" w:rsidTr="00565083">
        <w:trPr>
          <w:trHeight w:val="315"/>
        </w:trPr>
        <w:tc>
          <w:tcPr>
            <w:tcW w:w="284" w:type="dxa"/>
            <w:shd w:val="clear" w:color="auto" w:fill="auto"/>
            <w:noWrap/>
          </w:tcPr>
          <w:p w14:paraId="3431E92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17</w:t>
            </w:r>
          </w:p>
        </w:tc>
        <w:tc>
          <w:tcPr>
            <w:tcW w:w="2683" w:type="dxa"/>
            <w:shd w:val="clear" w:color="auto" w:fill="auto"/>
            <w:noWrap/>
            <w:vAlign w:val="center"/>
          </w:tcPr>
          <w:p w14:paraId="79CAC047" w14:textId="77777777" w:rsidR="009B6B98" w:rsidRPr="00496DF7" w:rsidRDefault="009B6B98" w:rsidP="00565083">
            <w:pPr>
              <w:jc w:val="both"/>
              <w:rPr>
                <w:rFonts w:cstheme="minorHAnsi"/>
                <w:sz w:val="16"/>
                <w:szCs w:val="16"/>
              </w:rPr>
            </w:pPr>
            <w:r w:rsidRPr="00496DF7">
              <w:rPr>
                <w:rFonts w:cstheme="minorHAnsi"/>
                <w:sz w:val="16"/>
                <w:szCs w:val="16"/>
              </w:rPr>
              <w:t>Mise en place d’un système de registre public des titres d’hydrocarbures</w:t>
            </w:r>
          </w:p>
        </w:tc>
        <w:tc>
          <w:tcPr>
            <w:tcW w:w="1981" w:type="dxa"/>
            <w:gridSpan w:val="2"/>
            <w:shd w:val="clear" w:color="auto" w:fill="auto"/>
            <w:noWrap/>
          </w:tcPr>
          <w:p w14:paraId="723F63B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04E07FE8" w14:textId="77777777" w:rsidR="009B6B98" w:rsidRPr="00496DF7" w:rsidRDefault="009B6B98" w:rsidP="00565083">
            <w:pPr>
              <w:rPr>
                <w:rFonts w:cstheme="minorHAnsi"/>
                <w:color w:val="000000"/>
                <w:sz w:val="16"/>
                <w:szCs w:val="16"/>
                <w:lang w:eastAsia="en-GB"/>
              </w:rPr>
            </w:pPr>
          </w:p>
        </w:tc>
        <w:tc>
          <w:tcPr>
            <w:tcW w:w="1930" w:type="dxa"/>
            <w:gridSpan w:val="3"/>
            <w:shd w:val="clear" w:color="auto" w:fill="auto"/>
            <w:noWrap/>
          </w:tcPr>
          <w:p w14:paraId="33978B7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 des Hydrocarbures/SGH</w:t>
            </w:r>
          </w:p>
        </w:tc>
        <w:tc>
          <w:tcPr>
            <w:tcW w:w="1850" w:type="dxa"/>
            <w:gridSpan w:val="2"/>
            <w:shd w:val="clear" w:color="auto" w:fill="auto"/>
            <w:noWrap/>
          </w:tcPr>
          <w:p w14:paraId="57CE7088"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activités 30 et 31</w:t>
            </w:r>
          </w:p>
        </w:tc>
        <w:tc>
          <w:tcPr>
            <w:tcW w:w="2883" w:type="dxa"/>
            <w:gridSpan w:val="2"/>
          </w:tcPr>
          <w:p w14:paraId="25BFE78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En cours (Mise en place entrepôt de données)</w:t>
            </w:r>
          </w:p>
        </w:tc>
        <w:tc>
          <w:tcPr>
            <w:tcW w:w="2292" w:type="dxa"/>
            <w:gridSpan w:val="2"/>
            <w:shd w:val="clear" w:color="auto" w:fill="auto"/>
            <w:noWrap/>
          </w:tcPr>
          <w:p w14:paraId="4E20E806" w14:textId="77777777" w:rsidR="009B6B98" w:rsidRPr="00496DF7" w:rsidRDefault="009B6B98" w:rsidP="00565083">
            <w:pPr>
              <w:rPr>
                <w:rFonts w:cstheme="minorHAnsi"/>
                <w:color w:val="000000"/>
                <w:sz w:val="16"/>
                <w:szCs w:val="16"/>
                <w:lang w:eastAsia="en-GB"/>
              </w:rPr>
            </w:pPr>
          </w:p>
        </w:tc>
      </w:tr>
      <w:tr w:rsidR="009B6B98" w:rsidRPr="00496DF7" w14:paraId="0B873B80" w14:textId="77777777" w:rsidTr="00565083">
        <w:trPr>
          <w:trHeight w:val="315"/>
        </w:trPr>
        <w:tc>
          <w:tcPr>
            <w:tcW w:w="284" w:type="dxa"/>
            <w:shd w:val="clear" w:color="auto" w:fill="auto"/>
            <w:noWrap/>
          </w:tcPr>
          <w:p w14:paraId="36BB61B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18</w:t>
            </w:r>
          </w:p>
        </w:tc>
        <w:tc>
          <w:tcPr>
            <w:tcW w:w="2683" w:type="dxa"/>
            <w:shd w:val="clear" w:color="auto" w:fill="auto"/>
            <w:noWrap/>
            <w:vAlign w:val="center"/>
          </w:tcPr>
          <w:p w14:paraId="4D9FA5AE" w14:textId="77777777" w:rsidR="009B6B98" w:rsidRPr="00496DF7" w:rsidRDefault="009B6B98" w:rsidP="00565083">
            <w:pPr>
              <w:jc w:val="both"/>
              <w:rPr>
                <w:rFonts w:cstheme="minorHAnsi"/>
                <w:sz w:val="16"/>
                <w:szCs w:val="16"/>
              </w:rPr>
            </w:pPr>
            <w:r w:rsidRPr="00496DF7">
              <w:rPr>
                <w:rFonts w:cstheme="minorHAnsi"/>
                <w:sz w:val="16"/>
                <w:szCs w:val="16"/>
              </w:rPr>
              <w:t>Compléter le registre pétrolier disponible en ligne sur le site de l’ITIE-RDC en insérant des liens aux Arrêtés ministériels portant prorogation des permis d’exploration.</w:t>
            </w:r>
          </w:p>
        </w:tc>
        <w:tc>
          <w:tcPr>
            <w:tcW w:w="1981" w:type="dxa"/>
            <w:gridSpan w:val="2"/>
            <w:shd w:val="clear" w:color="auto" w:fill="auto"/>
            <w:noWrap/>
          </w:tcPr>
          <w:p w14:paraId="00A3F10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des procédures d’octroi des droits miniers et pétroliers</w:t>
            </w:r>
          </w:p>
          <w:p w14:paraId="2C61A9AD" w14:textId="77777777" w:rsidR="009B6B98" w:rsidRPr="00496DF7" w:rsidRDefault="009B6B98" w:rsidP="00565083">
            <w:pPr>
              <w:rPr>
                <w:rFonts w:cstheme="minorHAnsi"/>
                <w:color w:val="000000"/>
                <w:sz w:val="16"/>
                <w:szCs w:val="16"/>
                <w:lang w:eastAsia="en-GB"/>
              </w:rPr>
            </w:pPr>
          </w:p>
          <w:p w14:paraId="39B7246C" w14:textId="77777777" w:rsidR="009B6B98" w:rsidRPr="00496DF7" w:rsidRDefault="009B6B98" w:rsidP="00565083">
            <w:pPr>
              <w:rPr>
                <w:rFonts w:cstheme="minorHAnsi"/>
                <w:color w:val="000000"/>
                <w:sz w:val="16"/>
                <w:szCs w:val="16"/>
                <w:lang w:eastAsia="en-GB"/>
              </w:rPr>
            </w:pPr>
          </w:p>
          <w:p w14:paraId="41FD08A8" w14:textId="77777777" w:rsidR="009B6B98" w:rsidRPr="00496DF7" w:rsidRDefault="009B6B98" w:rsidP="00565083">
            <w:pPr>
              <w:rPr>
                <w:rFonts w:cstheme="minorHAnsi"/>
                <w:color w:val="000000"/>
                <w:sz w:val="16"/>
                <w:szCs w:val="16"/>
                <w:lang w:eastAsia="en-GB"/>
              </w:rPr>
            </w:pPr>
          </w:p>
          <w:p w14:paraId="2341E6DB" w14:textId="77777777" w:rsidR="009B6B98" w:rsidRPr="00496DF7" w:rsidRDefault="009B6B98" w:rsidP="00565083">
            <w:pPr>
              <w:rPr>
                <w:rFonts w:cstheme="minorHAnsi"/>
                <w:color w:val="000000"/>
                <w:sz w:val="16"/>
                <w:szCs w:val="16"/>
                <w:lang w:eastAsia="en-GB"/>
              </w:rPr>
            </w:pPr>
          </w:p>
        </w:tc>
        <w:tc>
          <w:tcPr>
            <w:tcW w:w="946" w:type="dxa"/>
            <w:shd w:val="clear" w:color="auto" w:fill="auto"/>
            <w:noWrap/>
          </w:tcPr>
          <w:p w14:paraId="32422086" w14:textId="77777777" w:rsidR="009B6B98" w:rsidRPr="00496DF7" w:rsidRDefault="009B6B98" w:rsidP="00565083">
            <w:pPr>
              <w:rPr>
                <w:rFonts w:cstheme="minorHAnsi"/>
                <w:color w:val="000000"/>
                <w:sz w:val="16"/>
                <w:szCs w:val="16"/>
                <w:lang w:eastAsia="en-GB"/>
              </w:rPr>
            </w:pPr>
          </w:p>
        </w:tc>
        <w:tc>
          <w:tcPr>
            <w:tcW w:w="1930" w:type="dxa"/>
            <w:gridSpan w:val="3"/>
            <w:shd w:val="clear" w:color="auto" w:fill="auto"/>
            <w:noWrap/>
          </w:tcPr>
          <w:p w14:paraId="2DE67AA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 des Hydrocarbures/SGH</w:t>
            </w:r>
          </w:p>
        </w:tc>
        <w:tc>
          <w:tcPr>
            <w:tcW w:w="1850" w:type="dxa"/>
            <w:gridSpan w:val="2"/>
            <w:shd w:val="clear" w:color="auto" w:fill="auto"/>
            <w:noWrap/>
          </w:tcPr>
          <w:p w14:paraId="7DFC984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activités 30 et 31</w:t>
            </w:r>
          </w:p>
        </w:tc>
        <w:tc>
          <w:tcPr>
            <w:tcW w:w="2883" w:type="dxa"/>
            <w:gridSpan w:val="2"/>
          </w:tcPr>
          <w:p w14:paraId="5E6A074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En cours (Mise en place entrepôt de données)</w:t>
            </w:r>
          </w:p>
        </w:tc>
        <w:tc>
          <w:tcPr>
            <w:tcW w:w="2292" w:type="dxa"/>
            <w:gridSpan w:val="2"/>
            <w:shd w:val="clear" w:color="auto" w:fill="auto"/>
            <w:noWrap/>
          </w:tcPr>
          <w:p w14:paraId="24A5E677" w14:textId="77777777" w:rsidR="009B6B98" w:rsidRPr="00496DF7" w:rsidRDefault="009B6B98" w:rsidP="00565083">
            <w:pPr>
              <w:rPr>
                <w:rFonts w:cstheme="minorHAnsi"/>
                <w:color w:val="000000"/>
                <w:sz w:val="16"/>
                <w:szCs w:val="16"/>
                <w:lang w:eastAsia="en-GB"/>
              </w:rPr>
            </w:pPr>
          </w:p>
        </w:tc>
      </w:tr>
      <w:tr w:rsidR="009B6B98" w:rsidRPr="00496DF7" w14:paraId="19A8107C" w14:textId="77777777" w:rsidTr="00565083">
        <w:trPr>
          <w:trHeight w:val="315"/>
        </w:trPr>
        <w:tc>
          <w:tcPr>
            <w:tcW w:w="284" w:type="dxa"/>
            <w:shd w:val="clear" w:color="auto" w:fill="auto"/>
            <w:noWrap/>
          </w:tcPr>
          <w:p w14:paraId="5E024FE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19</w:t>
            </w:r>
          </w:p>
        </w:tc>
        <w:tc>
          <w:tcPr>
            <w:tcW w:w="2683" w:type="dxa"/>
            <w:shd w:val="clear" w:color="auto" w:fill="auto"/>
            <w:noWrap/>
            <w:vAlign w:val="center"/>
          </w:tcPr>
          <w:p w14:paraId="19C11A4E" w14:textId="77777777" w:rsidR="009B6B98" w:rsidRPr="00496DF7" w:rsidRDefault="009B6B98" w:rsidP="00565083">
            <w:pPr>
              <w:jc w:val="both"/>
              <w:rPr>
                <w:rFonts w:cstheme="minorHAnsi"/>
                <w:sz w:val="16"/>
                <w:szCs w:val="16"/>
              </w:rPr>
            </w:pPr>
            <w:r w:rsidRPr="00496DF7">
              <w:rPr>
                <w:rFonts w:cstheme="minorHAnsi"/>
                <w:sz w:val="16"/>
                <w:szCs w:val="16"/>
              </w:rPr>
              <w:t>Suivre et relancer le Ministère de Portefeuille pour l’application par les entreprises publiques des dispositions réglementaires portant sur l’obligation de publication des états financiers et de l’application de la procédure d’appel d’offres pour les opérations de cession d’actif</w:t>
            </w:r>
          </w:p>
        </w:tc>
        <w:tc>
          <w:tcPr>
            <w:tcW w:w="1981" w:type="dxa"/>
            <w:gridSpan w:val="2"/>
            <w:shd w:val="clear" w:color="auto" w:fill="auto"/>
            <w:noWrap/>
          </w:tcPr>
          <w:p w14:paraId="201AE8B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la revue des états financiers des entreprises publiques</w:t>
            </w:r>
          </w:p>
        </w:tc>
        <w:tc>
          <w:tcPr>
            <w:tcW w:w="946" w:type="dxa"/>
            <w:shd w:val="clear" w:color="auto" w:fill="auto"/>
            <w:noWrap/>
          </w:tcPr>
          <w:p w14:paraId="435DBDA5" w14:textId="77777777" w:rsidR="009B6B98" w:rsidRPr="00496DF7" w:rsidRDefault="009B6B98" w:rsidP="00565083">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7E4139A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 du Portefeuille</w:t>
            </w:r>
          </w:p>
        </w:tc>
        <w:tc>
          <w:tcPr>
            <w:tcW w:w="1850" w:type="dxa"/>
            <w:gridSpan w:val="2"/>
            <w:shd w:val="clear" w:color="auto" w:fill="auto"/>
            <w:noWrap/>
          </w:tcPr>
          <w:p w14:paraId="274CDBC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PTT, activité </w:t>
            </w:r>
          </w:p>
        </w:tc>
        <w:tc>
          <w:tcPr>
            <w:tcW w:w="2883" w:type="dxa"/>
            <w:gridSpan w:val="2"/>
          </w:tcPr>
          <w:p w14:paraId="4A978E7F"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En cours (ateliers organisés) </w:t>
            </w:r>
          </w:p>
        </w:tc>
        <w:tc>
          <w:tcPr>
            <w:tcW w:w="2292" w:type="dxa"/>
            <w:gridSpan w:val="2"/>
            <w:shd w:val="clear" w:color="auto" w:fill="auto"/>
            <w:noWrap/>
          </w:tcPr>
          <w:p w14:paraId="334282FE" w14:textId="77777777" w:rsidR="009B6B98" w:rsidRPr="00496DF7" w:rsidRDefault="009B6B98" w:rsidP="00565083">
            <w:pPr>
              <w:rPr>
                <w:rFonts w:cstheme="minorHAnsi"/>
                <w:color w:val="000000"/>
                <w:sz w:val="16"/>
                <w:szCs w:val="18"/>
                <w:lang w:eastAsia="en-GB"/>
              </w:rPr>
            </w:pPr>
            <w:r w:rsidRPr="00496DF7">
              <w:rPr>
                <w:sz w:val="16"/>
                <w:szCs w:val="18"/>
              </w:rPr>
              <w:t>Exigences 4.5 et 6.2 : transparence des entreprises publiques, gouvernance et publication des états financiers.</w:t>
            </w:r>
          </w:p>
        </w:tc>
      </w:tr>
      <w:tr w:rsidR="009B6B98" w:rsidRPr="00496DF7" w14:paraId="55CEF2AF" w14:textId="77777777" w:rsidTr="00565083">
        <w:trPr>
          <w:trHeight w:val="315"/>
        </w:trPr>
        <w:tc>
          <w:tcPr>
            <w:tcW w:w="284" w:type="dxa"/>
            <w:shd w:val="clear" w:color="auto" w:fill="auto"/>
            <w:noWrap/>
          </w:tcPr>
          <w:p w14:paraId="5F8D201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20</w:t>
            </w:r>
          </w:p>
        </w:tc>
        <w:tc>
          <w:tcPr>
            <w:tcW w:w="2683" w:type="dxa"/>
            <w:shd w:val="clear" w:color="auto" w:fill="auto"/>
            <w:noWrap/>
            <w:vAlign w:val="center"/>
          </w:tcPr>
          <w:p w14:paraId="4414F14A" w14:textId="77777777" w:rsidR="009B6B98" w:rsidRPr="00496DF7" w:rsidRDefault="009B6B98" w:rsidP="00565083">
            <w:pPr>
              <w:jc w:val="both"/>
              <w:rPr>
                <w:rFonts w:cstheme="minorHAnsi"/>
                <w:sz w:val="16"/>
                <w:szCs w:val="16"/>
              </w:rPr>
            </w:pPr>
            <w:r w:rsidRPr="00496DF7">
              <w:rPr>
                <w:rFonts w:cstheme="minorHAnsi"/>
                <w:sz w:val="16"/>
                <w:szCs w:val="16"/>
              </w:rPr>
              <w:t xml:space="preserve">Organiser un débat sur : </w:t>
            </w:r>
          </w:p>
          <w:p w14:paraId="7279830A" w14:textId="77777777" w:rsidR="009B6B98" w:rsidRPr="00496DF7" w:rsidRDefault="009B6B98" w:rsidP="00565083">
            <w:pPr>
              <w:jc w:val="both"/>
              <w:rPr>
                <w:rFonts w:cstheme="minorHAnsi"/>
                <w:sz w:val="16"/>
                <w:szCs w:val="16"/>
              </w:rPr>
            </w:pPr>
            <w:r w:rsidRPr="00496DF7">
              <w:rPr>
                <w:rFonts w:cstheme="minorHAnsi"/>
                <w:sz w:val="16"/>
                <w:szCs w:val="16"/>
              </w:rPr>
              <w:t xml:space="preserve">- la nécessité d’adoption d’un modèle de contrat type par nature d’opération. </w:t>
            </w:r>
          </w:p>
          <w:p w14:paraId="3AA50AB3" w14:textId="77777777" w:rsidR="009B6B98" w:rsidRPr="00496DF7" w:rsidRDefault="009B6B98" w:rsidP="00565083">
            <w:pPr>
              <w:jc w:val="both"/>
              <w:rPr>
                <w:rFonts w:cstheme="minorHAnsi"/>
                <w:sz w:val="16"/>
                <w:szCs w:val="16"/>
              </w:rPr>
            </w:pPr>
            <w:r w:rsidRPr="00496DF7">
              <w:rPr>
                <w:rFonts w:cstheme="minorHAnsi"/>
                <w:sz w:val="16"/>
                <w:szCs w:val="16"/>
              </w:rPr>
              <w:t>- l’obligation que tous les contrats extractifs soient notariés au Ministère de la Justice</w:t>
            </w:r>
          </w:p>
        </w:tc>
        <w:tc>
          <w:tcPr>
            <w:tcW w:w="1981" w:type="dxa"/>
            <w:gridSpan w:val="2"/>
            <w:shd w:val="clear" w:color="auto" w:fill="auto"/>
            <w:noWrap/>
          </w:tcPr>
          <w:p w14:paraId="6898367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la divulgation des contrats</w:t>
            </w:r>
          </w:p>
        </w:tc>
        <w:tc>
          <w:tcPr>
            <w:tcW w:w="946" w:type="dxa"/>
            <w:shd w:val="clear" w:color="auto" w:fill="auto"/>
            <w:noWrap/>
          </w:tcPr>
          <w:p w14:paraId="326D567B" w14:textId="77777777" w:rsidR="009B6B98" w:rsidRPr="00496DF7" w:rsidRDefault="009B6B98" w:rsidP="00565083">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279B86D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des Hydrocarbures et de l’Environnement</w:t>
            </w:r>
          </w:p>
        </w:tc>
        <w:tc>
          <w:tcPr>
            <w:tcW w:w="1850" w:type="dxa"/>
            <w:gridSpan w:val="2"/>
            <w:shd w:val="clear" w:color="auto" w:fill="auto"/>
            <w:noWrap/>
          </w:tcPr>
          <w:p w14:paraId="149013D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29</w:t>
            </w:r>
          </w:p>
        </w:tc>
        <w:tc>
          <w:tcPr>
            <w:tcW w:w="2883" w:type="dxa"/>
            <w:gridSpan w:val="2"/>
          </w:tcPr>
          <w:p w14:paraId="7655C1A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Partiellement </w:t>
            </w:r>
            <w:proofErr w:type="gramStart"/>
            <w:r w:rsidRPr="00496DF7">
              <w:rPr>
                <w:rFonts w:cstheme="minorHAnsi"/>
                <w:color w:val="000000"/>
                <w:sz w:val="16"/>
                <w:szCs w:val="16"/>
                <w:lang w:eastAsia="en-GB"/>
              </w:rPr>
              <w:t>réalisé:</w:t>
            </w:r>
            <w:proofErr w:type="gramEnd"/>
          </w:p>
          <w:p w14:paraId="52F2CD07" w14:textId="77777777" w:rsidR="009B6B98" w:rsidRPr="00496DF7" w:rsidRDefault="009B6B98" w:rsidP="00565083">
            <w:pPr>
              <w:rPr>
                <w:rFonts w:cstheme="minorHAnsi"/>
                <w:color w:val="000000"/>
                <w:sz w:val="16"/>
                <w:szCs w:val="16"/>
                <w:lang w:eastAsia="en-GB"/>
              </w:rPr>
            </w:pPr>
            <w:proofErr w:type="gramStart"/>
            <w:r w:rsidRPr="00496DF7">
              <w:rPr>
                <w:rFonts w:cstheme="minorHAnsi"/>
                <w:color w:val="000000"/>
                <w:sz w:val="16"/>
                <w:szCs w:val="16"/>
                <w:lang w:eastAsia="en-GB"/>
              </w:rPr>
              <w:t>2025:</w:t>
            </w:r>
            <w:proofErr w:type="gramEnd"/>
            <w:r w:rsidRPr="00496DF7">
              <w:rPr>
                <w:rFonts w:cstheme="minorHAnsi"/>
                <w:color w:val="000000"/>
                <w:sz w:val="16"/>
                <w:szCs w:val="16"/>
                <w:lang w:eastAsia="en-GB"/>
              </w:rPr>
              <w:t xml:space="preserve"> Organisation à Kinshasa, Lubumbashi et Kolwezi d’un </w:t>
            </w:r>
            <w:proofErr w:type="spellStart"/>
            <w:r w:rsidRPr="00496DF7">
              <w:rPr>
                <w:rFonts w:cstheme="minorHAnsi"/>
                <w:color w:val="000000"/>
                <w:sz w:val="16"/>
                <w:szCs w:val="16"/>
                <w:lang w:eastAsia="en-GB"/>
              </w:rPr>
              <w:t>debat</w:t>
            </w:r>
            <w:proofErr w:type="spellEnd"/>
            <w:r w:rsidRPr="00496DF7">
              <w:rPr>
                <w:rFonts w:cstheme="minorHAnsi"/>
                <w:color w:val="000000"/>
                <w:sz w:val="16"/>
                <w:szCs w:val="16"/>
                <w:lang w:eastAsia="en-GB"/>
              </w:rPr>
              <w:t xml:space="preserve"> sur le types de contrats à publier</w:t>
            </w:r>
          </w:p>
        </w:tc>
        <w:tc>
          <w:tcPr>
            <w:tcW w:w="2292" w:type="dxa"/>
            <w:gridSpan w:val="2"/>
            <w:shd w:val="clear" w:color="auto" w:fill="auto"/>
            <w:noWrap/>
          </w:tcPr>
          <w:p w14:paraId="47B06992" w14:textId="77777777" w:rsidR="009B6B98" w:rsidRPr="00496DF7" w:rsidRDefault="009B6B98" w:rsidP="00565083">
            <w:pPr>
              <w:rPr>
                <w:rFonts w:cstheme="minorHAnsi"/>
                <w:color w:val="000000"/>
                <w:sz w:val="16"/>
                <w:szCs w:val="18"/>
                <w:lang w:eastAsia="en-GB"/>
              </w:rPr>
            </w:pPr>
            <w:r w:rsidRPr="00496DF7">
              <w:rPr>
                <w:sz w:val="16"/>
                <w:szCs w:val="18"/>
              </w:rPr>
              <w:t xml:space="preserve">Exigence 2.4 : publication et accessibilité des contrats </w:t>
            </w:r>
            <w:proofErr w:type="gramStart"/>
            <w:r w:rsidRPr="00496DF7">
              <w:rPr>
                <w:sz w:val="16"/>
                <w:szCs w:val="18"/>
              </w:rPr>
              <w:t>extractifs;</w:t>
            </w:r>
            <w:proofErr w:type="gramEnd"/>
            <w:r w:rsidRPr="00496DF7">
              <w:rPr>
                <w:sz w:val="16"/>
                <w:szCs w:val="18"/>
              </w:rPr>
              <w:t xml:space="preserve"> besoin d’un cadre standardisé de publication.</w:t>
            </w:r>
          </w:p>
        </w:tc>
      </w:tr>
      <w:tr w:rsidR="009B6B98" w:rsidRPr="00496DF7" w14:paraId="07C19BA5" w14:textId="77777777" w:rsidTr="00565083">
        <w:trPr>
          <w:trHeight w:val="315"/>
        </w:trPr>
        <w:tc>
          <w:tcPr>
            <w:tcW w:w="284" w:type="dxa"/>
            <w:shd w:val="clear" w:color="auto" w:fill="auto"/>
            <w:noWrap/>
          </w:tcPr>
          <w:p w14:paraId="7F410BF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21</w:t>
            </w:r>
          </w:p>
        </w:tc>
        <w:tc>
          <w:tcPr>
            <w:tcW w:w="2683" w:type="dxa"/>
            <w:shd w:val="clear" w:color="auto" w:fill="auto"/>
            <w:noWrap/>
            <w:vAlign w:val="center"/>
          </w:tcPr>
          <w:p w14:paraId="7D744416" w14:textId="77777777" w:rsidR="009B6B98" w:rsidRPr="00496DF7" w:rsidRDefault="009B6B98" w:rsidP="00565083">
            <w:pPr>
              <w:jc w:val="both"/>
              <w:rPr>
                <w:rFonts w:cstheme="minorHAnsi"/>
                <w:sz w:val="16"/>
                <w:szCs w:val="16"/>
              </w:rPr>
            </w:pPr>
            <w:r w:rsidRPr="00496DF7">
              <w:rPr>
                <w:rFonts w:cstheme="minorHAnsi"/>
                <w:sz w:val="16"/>
                <w:szCs w:val="16"/>
              </w:rPr>
              <w:t>Dématérialiser systématiquement les notes de débit et les notes de perception pour combattre efficacement le phénomène de doublon et de falsification de ces documents et assurer un archivage numérique des données générées.</w:t>
            </w:r>
          </w:p>
        </w:tc>
        <w:tc>
          <w:tcPr>
            <w:tcW w:w="1981" w:type="dxa"/>
            <w:gridSpan w:val="2"/>
            <w:shd w:val="clear" w:color="auto" w:fill="auto"/>
            <w:noWrap/>
            <w:vAlign w:val="center"/>
          </w:tcPr>
          <w:p w14:paraId="706505E3" w14:textId="77777777" w:rsidR="009B6B98" w:rsidRPr="00496DF7" w:rsidRDefault="009B6B98" w:rsidP="00565083">
            <w:pPr>
              <w:rPr>
                <w:rFonts w:cstheme="minorHAnsi"/>
                <w:color w:val="000000"/>
                <w:sz w:val="16"/>
                <w:szCs w:val="16"/>
                <w:lang w:eastAsia="en-GB"/>
              </w:rPr>
            </w:pPr>
            <w:r w:rsidRPr="00496DF7">
              <w:rPr>
                <w:color w:val="000000"/>
                <w:sz w:val="16"/>
                <w:szCs w:val="16"/>
              </w:rPr>
              <w:t>Rapport ITIE-RDC 2020-2021 (publication 2023), recommandations sur la chaîne de perception de la redevance minière / FOMIN</w:t>
            </w:r>
          </w:p>
        </w:tc>
        <w:tc>
          <w:tcPr>
            <w:tcW w:w="946" w:type="dxa"/>
            <w:shd w:val="clear" w:color="auto" w:fill="auto"/>
            <w:noWrap/>
          </w:tcPr>
          <w:p w14:paraId="6E9FC614"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027EEDC6" w14:textId="77777777" w:rsidR="009B6B98" w:rsidRPr="00496DF7" w:rsidRDefault="009B6B98" w:rsidP="00565083">
            <w:pPr>
              <w:rPr>
                <w:rFonts w:cstheme="minorHAnsi"/>
                <w:color w:val="000000"/>
                <w:sz w:val="16"/>
                <w:szCs w:val="16"/>
                <w:lang w:eastAsia="en-GB"/>
              </w:rPr>
            </w:pPr>
            <w:r w:rsidRPr="00496DF7">
              <w:rPr>
                <w:color w:val="000000"/>
                <w:sz w:val="16"/>
                <w:szCs w:val="16"/>
              </w:rPr>
              <w:t>Ministères des Mines et des Finances, DGRAD, Divisions des mines, FOMIN</w:t>
            </w:r>
          </w:p>
        </w:tc>
        <w:tc>
          <w:tcPr>
            <w:tcW w:w="1850" w:type="dxa"/>
            <w:gridSpan w:val="2"/>
            <w:shd w:val="clear" w:color="auto" w:fill="auto"/>
            <w:noWrap/>
          </w:tcPr>
          <w:p w14:paraId="5A7465D2" w14:textId="77777777" w:rsidR="009B6B98" w:rsidRPr="00496DF7" w:rsidRDefault="009B6B98" w:rsidP="00565083">
            <w:pPr>
              <w:rPr>
                <w:rFonts w:cstheme="minorHAnsi"/>
                <w:color w:val="000000"/>
                <w:sz w:val="16"/>
                <w:szCs w:val="16"/>
                <w:lang w:eastAsia="en-GB"/>
              </w:rPr>
            </w:pPr>
            <w:r w:rsidRPr="00496DF7">
              <w:rPr>
                <w:color w:val="000000"/>
                <w:sz w:val="16"/>
                <w:szCs w:val="16"/>
              </w:rPr>
              <w:t>PTT/PTBA 2024-2026 – suivi de la chaîne des recettes, digitalisation et divulgation systématique</w:t>
            </w:r>
          </w:p>
        </w:tc>
        <w:tc>
          <w:tcPr>
            <w:tcW w:w="2883" w:type="dxa"/>
            <w:gridSpan w:val="2"/>
          </w:tcPr>
          <w:p w14:paraId="3E731F87" w14:textId="77777777" w:rsidR="009B6B98" w:rsidRPr="00496DF7" w:rsidRDefault="009B6B98" w:rsidP="00565083">
            <w:pPr>
              <w:rPr>
                <w:rFonts w:cstheme="minorHAnsi"/>
                <w:color w:val="000000"/>
                <w:sz w:val="16"/>
                <w:szCs w:val="16"/>
                <w:lang w:eastAsia="en-GB"/>
              </w:rPr>
            </w:pPr>
            <w:proofErr w:type="spellStart"/>
            <w:proofErr w:type="gramStart"/>
            <w:r w:rsidRPr="00496DF7">
              <w:rPr>
                <w:color w:val="000000"/>
                <w:sz w:val="16"/>
                <w:szCs w:val="16"/>
              </w:rPr>
              <w:t>Realisé</w:t>
            </w:r>
            <w:proofErr w:type="spellEnd"/>
            <w:r w:rsidRPr="00496DF7">
              <w:rPr>
                <w:color w:val="000000"/>
                <w:sz w:val="16"/>
                <w:szCs w:val="16"/>
              </w:rPr>
              <w:t>:</w:t>
            </w:r>
            <w:proofErr w:type="gramEnd"/>
            <w:r w:rsidRPr="00496DF7">
              <w:rPr>
                <w:color w:val="000000"/>
                <w:sz w:val="16"/>
                <w:szCs w:val="16"/>
              </w:rPr>
              <w:t xml:space="preserve"> Mise sur pied de la </w:t>
            </w:r>
            <w:proofErr w:type="spellStart"/>
            <w:r w:rsidRPr="00496DF7">
              <w:rPr>
                <w:color w:val="000000"/>
                <w:sz w:val="16"/>
                <w:szCs w:val="16"/>
              </w:rPr>
              <w:t>Logirad</w:t>
            </w:r>
            <w:proofErr w:type="spellEnd"/>
            <w:r w:rsidRPr="00496DF7">
              <w:rPr>
                <w:color w:val="000000"/>
                <w:sz w:val="16"/>
                <w:szCs w:val="16"/>
              </w:rPr>
              <w:t xml:space="preserve"> apures des Divisions des mines et d’un guichet unique</w:t>
            </w:r>
          </w:p>
        </w:tc>
        <w:tc>
          <w:tcPr>
            <w:tcW w:w="2292" w:type="dxa"/>
            <w:gridSpan w:val="2"/>
            <w:shd w:val="clear" w:color="auto" w:fill="auto"/>
            <w:noWrap/>
          </w:tcPr>
          <w:p w14:paraId="618D60A6" w14:textId="77777777" w:rsidR="009B6B98" w:rsidRPr="00496DF7" w:rsidRDefault="009B6B98" w:rsidP="00565083">
            <w:pPr>
              <w:rPr>
                <w:rFonts w:cstheme="minorHAnsi"/>
                <w:color w:val="000000"/>
                <w:sz w:val="16"/>
                <w:szCs w:val="16"/>
                <w:lang w:eastAsia="en-GB"/>
              </w:rPr>
            </w:pPr>
            <w:r w:rsidRPr="00496DF7">
              <w:rPr>
                <w:color w:val="000000"/>
                <w:sz w:val="16"/>
                <w:szCs w:val="16"/>
              </w:rPr>
              <w:t xml:space="preserve">Exigences 4.1 et 5.2 : fiabilisation de la chaîne de perception et traçabilité des </w:t>
            </w:r>
            <w:proofErr w:type="gramStart"/>
            <w:r w:rsidRPr="00496DF7">
              <w:rPr>
                <w:color w:val="000000"/>
                <w:sz w:val="16"/>
                <w:szCs w:val="16"/>
              </w:rPr>
              <w:t>revenus;</w:t>
            </w:r>
            <w:proofErr w:type="gramEnd"/>
            <w:r w:rsidRPr="00496DF7">
              <w:rPr>
                <w:color w:val="000000"/>
                <w:sz w:val="16"/>
                <w:szCs w:val="16"/>
              </w:rPr>
              <w:t xml:space="preserve"> la dématérialisation réduit les risques de doublons et de falsification.</w:t>
            </w:r>
          </w:p>
        </w:tc>
      </w:tr>
      <w:tr w:rsidR="009B6B98" w:rsidRPr="00496DF7" w14:paraId="17325B08" w14:textId="77777777" w:rsidTr="00565083">
        <w:trPr>
          <w:trHeight w:val="315"/>
        </w:trPr>
        <w:tc>
          <w:tcPr>
            <w:tcW w:w="284" w:type="dxa"/>
            <w:shd w:val="clear" w:color="auto" w:fill="auto"/>
            <w:noWrap/>
          </w:tcPr>
          <w:p w14:paraId="297CCC8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22</w:t>
            </w:r>
          </w:p>
        </w:tc>
        <w:tc>
          <w:tcPr>
            <w:tcW w:w="2683" w:type="dxa"/>
            <w:shd w:val="clear" w:color="auto" w:fill="auto"/>
            <w:noWrap/>
            <w:vAlign w:val="center"/>
          </w:tcPr>
          <w:p w14:paraId="33BF2ABD" w14:textId="77777777" w:rsidR="009B6B98" w:rsidRPr="00496DF7" w:rsidRDefault="009B6B98" w:rsidP="00565083">
            <w:pPr>
              <w:jc w:val="both"/>
              <w:rPr>
                <w:rFonts w:cstheme="minorHAnsi"/>
                <w:sz w:val="16"/>
                <w:szCs w:val="16"/>
              </w:rPr>
            </w:pPr>
            <w:r w:rsidRPr="00496DF7">
              <w:rPr>
                <w:rFonts w:cstheme="minorHAnsi"/>
                <w:sz w:val="16"/>
                <w:szCs w:val="16"/>
              </w:rPr>
              <w:t>Organiser de manière régulières les missions conjointes de contrôle des structures habilitées auprès des entreprises minières et contraindre les contrevenantes à s’acquitter et apurer leurs arriérés de la redevance minière dans le respect de la répartition fixées par les prescrits légaux et réglementaires</w:t>
            </w:r>
          </w:p>
        </w:tc>
        <w:tc>
          <w:tcPr>
            <w:tcW w:w="1981" w:type="dxa"/>
            <w:gridSpan w:val="2"/>
            <w:shd w:val="clear" w:color="auto" w:fill="auto"/>
            <w:noWrap/>
          </w:tcPr>
          <w:p w14:paraId="47D76A6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2E18DD49" w14:textId="77777777" w:rsidR="009B6B98" w:rsidRPr="00496DF7" w:rsidRDefault="009B6B98" w:rsidP="00565083">
            <w:pPr>
              <w:rPr>
                <w:color w:val="000000"/>
                <w:sz w:val="16"/>
                <w:szCs w:val="16"/>
              </w:rPr>
            </w:pPr>
            <w:r w:rsidRPr="00496DF7">
              <w:rPr>
                <w:color w:val="000000"/>
                <w:sz w:val="16"/>
                <w:szCs w:val="16"/>
              </w:rPr>
              <w:t>Élevé</w:t>
            </w:r>
          </w:p>
          <w:p w14:paraId="0AEE0F64" w14:textId="77777777" w:rsidR="009B6B98" w:rsidRPr="00496DF7" w:rsidRDefault="009B6B98" w:rsidP="00565083">
            <w:pPr>
              <w:rPr>
                <w:rFonts w:cstheme="minorHAnsi"/>
                <w:color w:val="000000"/>
                <w:sz w:val="16"/>
                <w:szCs w:val="16"/>
                <w:lang w:eastAsia="en-GB"/>
              </w:rPr>
            </w:pPr>
          </w:p>
        </w:tc>
        <w:tc>
          <w:tcPr>
            <w:tcW w:w="1930" w:type="dxa"/>
            <w:gridSpan w:val="3"/>
            <w:shd w:val="clear" w:color="auto" w:fill="auto"/>
            <w:noWrap/>
          </w:tcPr>
          <w:p w14:paraId="69D128F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CE</w:t>
            </w:r>
          </w:p>
        </w:tc>
        <w:tc>
          <w:tcPr>
            <w:tcW w:w="1850" w:type="dxa"/>
            <w:gridSpan w:val="2"/>
            <w:shd w:val="clear" w:color="auto" w:fill="auto"/>
            <w:noWrap/>
          </w:tcPr>
          <w:p w14:paraId="181CBFE8"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27</w:t>
            </w:r>
          </w:p>
        </w:tc>
        <w:tc>
          <w:tcPr>
            <w:tcW w:w="2883" w:type="dxa"/>
            <w:gridSpan w:val="2"/>
          </w:tcPr>
          <w:p w14:paraId="21FAE1A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Réalisé,  </w:t>
            </w:r>
          </w:p>
          <w:p w14:paraId="30AF8A4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Mai 2023 : prise de </w:t>
            </w:r>
            <w:proofErr w:type="spellStart"/>
            <w:r w:rsidRPr="00496DF7">
              <w:rPr>
                <w:rFonts w:cstheme="minorHAnsi"/>
                <w:color w:val="000000"/>
                <w:sz w:val="16"/>
                <w:szCs w:val="16"/>
                <w:lang w:eastAsia="en-GB"/>
              </w:rPr>
              <w:t>decret</w:t>
            </w:r>
            <w:proofErr w:type="spellEnd"/>
            <w:r w:rsidRPr="00496DF7">
              <w:rPr>
                <w:rFonts w:cstheme="minorHAnsi"/>
                <w:color w:val="000000"/>
                <w:sz w:val="16"/>
                <w:szCs w:val="16"/>
                <w:lang w:eastAsia="en-GB"/>
              </w:rPr>
              <w:t xml:space="preserve"> </w:t>
            </w:r>
            <w:proofErr w:type="spellStart"/>
            <w:r w:rsidRPr="00496DF7">
              <w:rPr>
                <w:rFonts w:cstheme="minorHAnsi"/>
                <w:color w:val="000000"/>
                <w:sz w:val="16"/>
                <w:szCs w:val="16"/>
                <w:lang w:eastAsia="en-GB"/>
              </w:rPr>
              <w:t>regissant</w:t>
            </w:r>
            <w:proofErr w:type="spellEnd"/>
            <w:r w:rsidRPr="00496DF7">
              <w:rPr>
                <w:rFonts w:cstheme="minorHAnsi"/>
                <w:color w:val="000000"/>
                <w:sz w:val="16"/>
                <w:szCs w:val="16"/>
                <w:lang w:eastAsia="en-GB"/>
              </w:rPr>
              <w:t xml:space="preserve"> </w:t>
            </w:r>
            <w:proofErr w:type="spellStart"/>
            <w:r w:rsidRPr="00496DF7">
              <w:rPr>
                <w:rFonts w:cstheme="minorHAnsi"/>
                <w:color w:val="000000"/>
                <w:sz w:val="16"/>
                <w:szCs w:val="16"/>
                <w:lang w:eastAsia="en-GB"/>
              </w:rPr>
              <w:t>la</w:t>
            </w:r>
            <w:proofErr w:type="spellEnd"/>
            <w:r w:rsidRPr="00496DF7">
              <w:rPr>
                <w:rFonts w:cstheme="minorHAnsi"/>
                <w:color w:val="000000"/>
                <w:sz w:val="16"/>
                <w:szCs w:val="16"/>
                <w:lang w:eastAsia="en-GB"/>
              </w:rPr>
              <w:t xml:space="preserve"> </w:t>
            </w:r>
            <w:proofErr w:type="spellStart"/>
            <w:r w:rsidRPr="00496DF7">
              <w:rPr>
                <w:rFonts w:cstheme="minorHAnsi"/>
                <w:color w:val="000000"/>
                <w:sz w:val="16"/>
                <w:szCs w:val="16"/>
                <w:lang w:eastAsia="en-GB"/>
              </w:rPr>
              <w:t>la</w:t>
            </w:r>
            <w:proofErr w:type="spellEnd"/>
            <w:r w:rsidRPr="00496DF7">
              <w:rPr>
                <w:rFonts w:cstheme="minorHAnsi"/>
                <w:color w:val="000000"/>
                <w:sz w:val="16"/>
                <w:szCs w:val="16"/>
                <w:lang w:eastAsia="en-GB"/>
              </w:rPr>
              <w:t xml:space="preserve"> collecte, la </w:t>
            </w:r>
            <w:proofErr w:type="spellStart"/>
            <w:r w:rsidRPr="00496DF7">
              <w:rPr>
                <w:rFonts w:cstheme="minorHAnsi"/>
                <w:color w:val="000000"/>
                <w:sz w:val="16"/>
                <w:szCs w:val="16"/>
                <w:lang w:eastAsia="en-GB"/>
              </w:rPr>
              <w:t>repartition</w:t>
            </w:r>
            <w:proofErr w:type="spellEnd"/>
            <w:r w:rsidRPr="00496DF7">
              <w:rPr>
                <w:rFonts w:cstheme="minorHAnsi"/>
                <w:color w:val="000000"/>
                <w:sz w:val="16"/>
                <w:szCs w:val="16"/>
                <w:lang w:eastAsia="en-GB"/>
              </w:rPr>
              <w:t xml:space="preserve"> et la gestion de la redevance manière revenant aux Provinces et ETD</w:t>
            </w:r>
          </w:p>
        </w:tc>
        <w:tc>
          <w:tcPr>
            <w:tcW w:w="2292" w:type="dxa"/>
            <w:gridSpan w:val="2"/>
            <w:shd w:val="clear" w:color="auto" w:fill="auto"/>
            <w:noWrap/>
          </w:tcPr>
          <w:p w14:paraId="59579722" w14:textId="77777777" w:rsidR="009B6B98" w:rsidRPr="00496DF7" w:rsidRDefault="009B6B98" w:rsidP="00565083">
            <w:pPr>
              <w:rPr>
                <w:color w:val="000000"/>
                <w:sz w:val="16"/>
                <w:szCs w:val="16"/>
              </w:rPr>
            </w:pPr>
            <w:r w:rsidRPr="00496DF7">
              <w:rPr>
                <w:color w:val="000000"/>
                <w:sz w:val="16"/>
                <w:szCs w:val="16"/>
              </w:rPr>
              <w:t>Exigence 5.2 : répartition infranationale des revenus et suivi des arriérés de redevance minière.</w:t>
            </w:r>
          </w:p>
          <w:p w14:paraId="104DE40C" w14:textId="77777777" w:rsidR="009B6B98" w:rsidRPr="00496DF7" w:rsidRDefault="009B6B98" w:rsidP="00565083">
            <w:pPr>
              <w:rPr>
                <w:rFonts w:cstheme="minorHAnsi"/>
                <w:color w:val="000000"/>
                <w:sz w:val="16"/>
                <w:szCs w:val="16"/>
                <w:lang w:eastAsia="en-GB"/>
              </w:rPr>
            </w:pPr>
          </w:p>
        </w:tc>
      </w:tr>
      <w:tr w:rsidR="009B6B98" w:rsidRPr="00496DF7" w14:paraId="44DC256E" w14:textId="77777777" w:rsidTr="00565083">
        <w:trPr>
          <w:trHeight w:val="315"/>
        </w:trPr>
        <w:tc>
          <w:tcPr>
            <w:tcW w:w="284" w:type="dxa"/>
            <w:shd w:val="clear" w:color="auto" w:fill="auto"/>
            <w:noWrap/>
          </w:tcPr>
          <w:p w14:paraId="01DAFE0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23</w:t>
            </w:r>
          </w:p>
        </w:tc>
        <w:tc>
          <w:tcPr>
            <w:tcW w:w="2683" w:type="dxa"/>
            <w:shd w:val="clear" w:color="auto" w:fill="auto"/>
            <w:noWrap/>
            <w:vAlign w:val="center"/>
          </w:tcPr>
          <w:p w14:paraId="494F1367" w14:textId="77777777" w:rsidR="009B6B98" w:rsidRPr="00496DF7" w:rsidRDefault="009B6B98" w:rsidP="00565083">
            <w:pPr>
              <w:jc w:val="both"/>
              <w:rPr>
                <w:rFonts w:cstheme="minorHAnsi"/>
                <w:sz w:val="16"/>
                <w:szCs w:val="16"/>
              </w:rPr>
            </w:pPr>
            <w:r w:rsidRPr="00496DF7">
              <w:rPr>
                <w:rFonts w:cstheme="minorHAnsi"/>
                <w:sz w:val="16"/>
                <w:szCs w:val="16"/>
              </w:rPr>
              <w:t>Renforcer les capacités des Directions des recettes provinciales et des services financiers des ETD pour les doter de l’expertise dans le contrôle de la régularité et de la conformité des opérations de constations et de liquidation de la redevance minière faites par les services d’assiette</w:t>
            </w:r>
          </w:p>
        </w:tc>
        <w:tc>
          <w:tcPr>
            <w:tcW w:w="1981" w:type="dxa"/>
            <w:gridSpan w:val="2"/>
            <w:shd w:val="clear" w:color="auto" w:fill="auto"/>
            <w:noWrap/>
          </w:tcPr>
          <w:p w14:paraId="79A8223F"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4236B4D6" w14:textId="77777777" w:rsidR="009B6B98" w:rsidRPr="00496DF7" w:rsidRDefault="009B6B98" w:rsidP="00565083">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47C4499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des Finances</w:t>
            </w:r>
          </w:p>
        </w:tc>
        <w:tc>
          <w:tcPr>
            <w:tcW w:w="1850" w:type="dxa"/>
            <w:gridSpan w:val="2"/>
            <w:shd w:val="clear" w:color="auto" w:fill="auto"/>
            <w:noWrap/>
          </w:tcPr>
          <w:p w14:paraId="5047E32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70E1F29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w:t>
            </w:r>
          </w:p>
          <w:p w14:paraId="2725214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 Cf.  </w:t>
            </w:r>
            <w:proofErr w:type="gramStart"/>
            <w:r w:rsidRPr="00496DF7">
              <w:rPr>
                <w:rFonts w:cstheme="minorHAnsi"/>
                <w:color w:val="000000"/>
                <w:sz w:val="16"/>
                <w:szCs w:val="16"/>
                <w:lang w:eastAsia="en-GB"/>
              </w:rPr>
              <w:t>2026:</w:t>
            </w:r>
            <w:proofErr w:type="gramEnd"/>
            <w:r w:rsidRPr="00496DF7">
              <w:rPr>
                <w:rFonts w:cstheme="minorHAnsi"/>
                <w:color w:val="000000"/>
                <w:sz w:val="16"/>
                <w:szCs w:val="16"/>
                <w:lang w:eastAsia="en-GB"/>
              </w:rPr>
              <w:t xml:space="preserve">  Ateliers sur les modalités de calcul, de collecte  de la redevance manière revenant à ces structures</w:t>
            </w:r>
          </w:p>
        </w:tc>
        <w:tc>
          <w:tcPr>
            <w:tcW w:w="2292" w:type="dxa"/>
            <w:gridSpan w:val="2"/>
            <w:shd w:val="clear" w:color="auto" w:fill="auto"/>
            <w:noWrap/>
          </w:tcPr>
          <w:p w14:paraId="567AECD2" w14:textId="77777777" w:rsidR="009B6B98" w:rsidRPr="00496DF7" w:rsidRDefault="009B6B98" w:rsidP="00565083">
            <w:pPr>
              <w:rPr>
                <w:rFonts w:cstheme="minorHAnsi"/>
                <w:color w:val="000000"/>
                <w:sz w:val="16"/>
                <w:szCs w:val="16"/>
                <w:lang w:eastAsia="en-GB"/>
              </w:rPr>
            </w:pPr>
            <w:r w:rsidRPr="00496DF7">
              <w:rPr>
                <w:sz w:val="16"/>
                <w:szCs w:val="16"/>
              </w:rPr>
              <w:t>Exigence 5.2 : renforcement des capacités des entités infranationales pour le calcul, la liquidation et le recouvrement des revenus.</w:t>
            </w:r>
          </w:p>
        </w:tc>
      </w:tr>
      <w:tr w:rsidR="009B6B98" w:rsidRPr="00496DF7" w14:paraId="164D4A07" w14:textId="77777777" w:rsidTr="00565083">
        <w:trPr>
          <w:trHeight w:val="315"/>
        </w:trPr>
        <w:tc>
          <w:tcPr>
            <w:tcW w:w="284" w:type="dxa"/>
            <w:shd w:val="clear" w:color="auto" w:fill="auto"/>
            <w:noWrap/>
          </w:tcPr>
          <w:p w14:paraId="4C94D17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24</w:t>
            </w:r>
          </w:p>
        </w:tc>
        <w:tc>
          <w:tcPr>
            <w:tcW w:w="2683" w:type="dxa"/>
            <w:shd w:val="clear" w:color="auto" w:fill="auto"/>
            <w:noWrap/>
            <w:vAlign w:val="center"/>
          </w:tcPr>
          <w:p w14:paraId="0433A5C9" w14:textId="77777777" w:rsidR="009B6B98" w:rsidRPr="00496DF7" w:rsidRDefault="009B6B98" w:rsidP="00565083">
            <w:pPr>
              <w:jc w:val="both"/>
              <w:rPr>
                <w:rFonts w:cstheme="minorHAnsi"/>
                <w:sz w:val="16"/>
                <w:szCs w:val="16"/>
              </w:rPr>
            </w:pPr>
            <w:r w:rsidRPr="00496DF7">
              <w:rPr>
                <w:rFonts w:cstheme="minorHAnsi"/>
                <w:sz w:val="16"/>
                <w:szCs w:val="16"/>
              </w:rPr>
              <w:t>Renforcer et parachever la mise en place des organes locaux de contrôle des finances des ETD et assurer régulièrement les missions de l’IGF essentiellement dans les ETD bénéficiaires de la quotité de la redevance minière</w:t>
            </w:r>
          </w:p>
        </w:tc>
        <w:tc>
          <w:tcPr>
            <w:tcW w:w="1981" w:type="dxa"/>
            <w:gridSpan w:val="2"/>
            <w:shd w:val="clear" w:color="auto" w:fill="auto"/>
            <w:noWrap/>
          </w:tcPr>
          <w:p w14:paraId="4C6BB94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5BB0C265" w14:textId="77777777" w:rsidR="009B6B98" w:rsidRPr="00496DF7" w:rsidRDefault="009B6B98" w:rsidP="00565083">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271E8D7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 l’Intérieur, des mines et des Finances, CE</w:t>
            </w:r>
          </w:p>
        </w:tc>
        <w:tc>
          <w:tcPr>
            <w:tcW w:w="1850" w:type="dxa"/>
            <w:gridSpan w:val="2"/>
            <w:shd w:val="clear" w:color="auto" w:fill="auto"/>
            <w:noWrap/>
          </w:tcPr>
          <w:p w14:paraId="5A25A98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71E49832" w14:textId="77777777" w:rsidR="009B6B98" w:rsidRPr="00496DF7" w:rsidRDefault="009B6B98" w:rsidP="00565083">
            <w:pPr>
              <w:rPr>
                <w:rFonts w:cstheme="minorHAnsi"/>
                <w:color w:val="000000"/>
                <w:sz w:val="16"/>
                <w:szCs w:val="16"/>
                <w:lang w:eastAsia="en-GB"/>
              </w:rPr>
            </w:pPr>
            <w:proofErr w:type="spellStart"/>
            <w:r w:rsidRPr="00496DF7">
              <w:rPr>
                <w:rFonts w:cstheme="minorHAnsi"/>
                <w:color w:val="000000"/>
                <w:sz w:val="16"/>
                <w:szCs w:val="16"/>
                <w:lang w:eastAsia="en-GB"/>
              </w:rPr>
              <w:t>Realisé</w:t>
            </w:r>
            <w:proofErr w:type="spellEnd"/>
          </w:p>
          <w:p w14:paraId="69AFAA4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Voir installation des organes </w:t>
            </w:r>
            <w:proofErr w:type="spellStart"/>
            <w:r w:rsidRPr="00496DF7">
              <w:rPr>
                <w:rFonts w:cstheme="minorHAnsi"/>
                <w:color w:val="000000"/>
                <w:sz w:val="16"/>
                <w:szCs w:val="16"/>
                <w:lang w:eastAsia="en-GB"/>
              </w:rPr>
              <w:t>deliberants</w:t>
            </w:r>
            <w:proofErr w:type="spellEnd"/>
            <w:r w:rsidRPr="00496DF7">
              <w:rPr>
                <w:rFonts w:cstheme="minorHAnsi"/>
                <w:color w:val="000000"/>
                <w:sz w:val="16"/>
                <w:szCs w:val="16"/>
                <w:lang w:eastAsia="en-GB"/>
              </w:rPr>
              <w:t xml:space="preserve"> locaux et les patrouilles IGF</w:t>
            </w:r>
          </w:p>
        </w:tc>
        <w:tc>
          <w:tcPr>
            <w:tcW w:w="2292" w:type="dxa"/>
            <w:gridSpan w:val="2"/>
            <w:shd w:val="clear" w:color="auto" w:fill="auto"/>
            <w:noWrap/>
          </w:tcPr>
          <w:p w14:paraId="13253ACB" w14:textId="77777777" w:rsidR="009B6B98" w:rsidRPr="00496DF7" w:rsidRDefault="009B6B98" w:rsidP="00565083">
            <w:pPr>
              <w:rPr>
                <w:rFonts w:cstheme="minorHAnsi"/>
                <w:color w:val="000000"/>
                <w:sz w:val="16"/>
                <w:szCs w:val="16"/>
                <w:lang w:eastAsia="en-GB"/>
              </w:rPr>
            </w:pPr>
            <w:r w:rsidRPr="00496DF7">
              <w:rPr>
                <w:sz w:val="16"/>
                <w:szCs w:val="16"/>
              </w:rPr>
              <w:t>Exigence 5.2 : contrôle et redevabilité de l’utilisation des revenus au niveau infranational.</w:t>
            </w:r>
          </w:p>
        </w:tc>
      </w:tr>
      <w:tr w:rsidR="009B6B98" w:rsidRPr="00496DF7" w14:paraId="7D6D96DE" w14:textId="77777777" w:rsidTr="00565083">
        <w:trPr>
          <w:trHeight w:val="315"/>
        </w:trPr>
        <w:tc>
          <w:tcPr>
            <w:tcW w:w="284" w:type="dxa"/>
            <w:shd w:val="clear" w:color="auto" w:fill="auto"/>
            <w:noWrap/>
          </w:tcPr>
          <w:p w14:paraId="2E1D9E9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lastRenderedPageBreak/>
              <w:t>25</w:t>
            </w:r>
          </w:p>
        </w:tc>
        <w:tc>
          <w:tcPr>
            <w:tcW w:w="2683" w:type="dxa"/>
            <w:shd w:val="clear" w:color="auto" w:fill="auto"/>
            <w:noWrap/>
            <w:vAlign w:val="center"/>
          </w:tcPr>
          <w:p w14:paraId="41593170" w14:textId="77777777" w:rsidR="009B6B98" w:rsidRPr="00496DF7" w:rsidRDefault="009B6B98" w:rsidP="00565083">
            <w:pPr>
              <w:jc w:val="both"/>
              <w:rPr>
                <w:rFonts w:cstheme="minorHAnsi"/>
                <w:sz w:val="16"/>
                <w:szCs w:val="16"/>
              </w:rPr>
            </w:pPr>
            <w:r w:rsidRPr="00496DF7">
              <w:rPr>
                <w:rFonts w:cstheme="minorHAnsi"/>
                <w:sz w:val="16"/>
                <w:szCs w:val="16"/>
              </w:rPr>
              <w:t>Œuvrer à réduire l’écart entre les recettes de la redevance minière recouvrées avec celles constatées et liquidées en renforçant la collaboration entre les divisions provinciales des mines et les Directions des recettes provinciales et les services financiers des ETD et en parachevant la mise en œuvre des chaines des recettes provinciales et des ETD</w:t>
            </w:r>
          </w:p>
        </w:tc>
        <w:tc>
          <w:tcPr>
            <w:tcW w:w="1981" w:type="dxa"/>
            <w:gridSpan w:val="2"/>
            <w:shd w:val="clear" w:color="auto" w:fill="auto"/>
            <w:noWrap/>
          </w:tcPr>
          <w:p w14:paraId="15CA6CD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11BDE460" w14:textId="77777777" w:rsidR="009B6B98" w:rsidRPr="00496DF7" w:rsidRDefault="009B6B98" w:rsidP="00565083">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3CEEE4C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et des Finances, Administration Provinciale</w:t>
            </w:r>
          </w:p>
        </w:tc>
        <w:tc>
          <w:tcPr>
            <w:tcW w:w="1850" w:type="dxa"/>
            <w:gridSpan w:val="2"/>
            <w:shd w:val="clear" w:color="auto" w:fill="auto"/>
            <w:noWrap/>
          </w:tcPr>
          <w:p w14:paraId="33CC99F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4B3A63A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En cours (étude thématique en cours de finalisation)</w:t>
            </w:r>
          </w:p>
        </w:tc>
        <w:tc>
          <w:tcPr>
            <w:tcW w:w="2292" w:type="dxa"/>
            <w:gridSpan w:val="2"/>
            <w:shd w:val="clear" w:color="auto" w:fill="auto"/>
            <w:noWrap/>
          </w:tcPr>
          <w:p w14:paraId="1A0CF05B" w14:textId="77777777" w:rsidR="009B6B98" w:rsidRPr="00496DF7" w:rsidRDefault="009B6B98" w:rsidP="00565083">
            <w:pPr>
              <w:rPr>
                <w:rFonts w:cstheme="minorHAnsi"/>
                <w:color w:val="000000"/>
                <w:sz w:val="16"/>
                <w:szCs w:val="16"/>
                <w:lang w:eastAsia="en-GB"/>
              </w:rPr>
            </w:pPr>
            <w:r w:rsidRPr="00496DF7">
              <w:rPr>
                <w:sz w:val="16"/>
                <w:szCs w:val="16"/>
              </w:rPr>
              <w:t>Exigence 5.2 : rapprochement entre recettes constatées, liquidées et recouvrées.</w:t>
            </w:r>
          </w:p>
        </w:tc>
      </w:tr>
      <w:tr w:rsidR="009B6B98" w:rsidRPr="00496DF7" w14:paraId="359FEC1A" w14:textId="77777777" w:rsidTr="00565083">
        <w:trPr>
          <w:trHeight w:val="315"/>
        </w:trPr>
        <w:tc>
          <w:tcPr>
            <w:tcW w:w="284" w:type="dxa"/>
            <w:shd w:val="clear" w:color="auto" w:fill="auto"/>
            <w:noWrap/>
          </w:tcPr>
          <w:p w14:paraId="7041AB3F"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26</w:t>
            </w:r>
          </w:p>
        </w:tc>
        <w:tc>
          <w:tcPr>
            <w:tcW w:w="2683" w:type="dxa"/>
            <w:shd w:val="clear" w:color="auto" w:fill="auto"/>
            <w:noWrap/>
            <w:vAlign w:val="center"/>
          </w:tcPr>
          <w:p w14:paraId="22537F9B" w14:textId="77777777" w:rsidR="009B6B98" w:rsidRPr="00496DF7" w:rsidRDefault="009B6B98" w:rsidP="00565083">
            <w:pPr>
              <w:jc w:val="both"/>
              <w:rPr>
                <w:rFonts w:cstheme="minorHAnsi"/>
                <w:sz w:val="16"/>
                <w:szCs w:val="16"/>
              </w:rPr>
            </w:pPr>
            <w:r w:rsidRPr="00496DF7">
              <w:rPr>
                <w:rFonts w:cstheme="minorHAnsi"/>
                <w:sz w:val="16"/>
                <w:szCs w:val="16"/>
              </w:rPr>
              <w:t>Instaurer, en l’absence des organes délibérants locaux, tel que prévus par la Loi Organique N008/016 du 07 Octobre 2008 portant composition, organisation et fonctionnement des Entités Territoriales Décentralisées, des mécanismes de contrôle ad hoc au niveau des ETD en mettant en place des comités paritaires dans le but d’assurer le suivi et le contrôle interne pour garantir une gestion transparente et/ou une utilisation rationnelle des revenus issus de la redevance minière</w:t>
            </w:r>
          </w:p>
        </w:tc>
        <w:tc>
          <w:tcPr>
            <w:tcW w:w="1981" w:type="dxa"/>
            <w:gridSpan w:val="2"/>
            <w:shd w:val="clear" w:color="auto" w:fill="auto"/>
            <w:noWrap/>
          </w:tcPr>
          <w:p w14:paraId="7853308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Rapport sur l’état des lieux de la répartition et l’affectation de la redevance minière ainsi que la rétrocession de 10% des recettes pétrolières de la catégorie B aux provinces </w:t>
            </w:r>
            <w:proofErr w:type="spellStart"/>
            <w:r w:rsidRPr="00496DF7">
              <w:rPr>
                <w:rFonts w:cstheme="minorHAnsi"/>
                <w:color w:val="000000"/>
                <w:sz w:val="16"/>
                <w:szCs w:val="16"/>
                <w:lang w:eastAsia="en-GB"/>
              </w:rPr>
              <w:t>productices</w:t>
            </w:r>
            <w:proofErr w:type="spellEnd"/>
          </w:p>
        </w:tc>
        <w:tc>
          <w:tcPr>
            <w:tcW w:w="946" w:type="dxa"/>
            <w:shd w:val="clear" w:color="auto" w:fill="auto"/>
            <w:noWrap/>
          </w:tcPr>
          <w:p w14:paraId="2A7A89DC" w14:textId="77777777" w:rsidR="009B6B98" w:rsidRPr="00496DF7" w:rsidRDefault="009B6B98" w:rsidP="00565083">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3A07817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et des Finances, Administration provinciale</w:t>
            </w:r>
          </w:p>
        </w:tc>
        <w:tc>
          <w:tcPr>
            <w:tcW w:w="1850" w:type="dxa"/>
            <w:gridSpan w:val="2"/>
            <w:shd w:val="clear" w:color="auto" w:fill="auto"/>
            <w:noWrap/>
          </w:tcPr>
          <w:p w14:paraId="4CFF2D3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74776A07" w14:textId="77777777" w:rsidR="009B6B98" w:rsidRPr="00496DF7" w:rsidRDefault="009B6B98" w:rsidP="00565083">
            <w:pPr>
              <w:rPr>
                <w:rFonts w:cstheme="minorHAnsi"/>
                <w:color w:val="000000"/>
                <w:sz w:val="16"/>
                <w:szCs w:val="16"/>
                <w:lang w:eastAsia="en-GB"/>
              </w:rPr>
            </w:pPr>
            <w:proofErr w:type="gramStart"/>
            <w:r w:rsidRPr="00496DF7">
              <w:rPr>
                <w:rFonts w:cstheme="minorHAnsi"/>
                <w:color w:val="000000"/>
                <w:sz w:val="16"/>
                <w:szCs w:val="16"/>
                <w:lang w:eastAsia="en-GB"/>
              </w:rPr>
              <w:t>Réalisé:</w:t>
            </w:r>
            <w:proofErr w:type="gramEnd"/>
            <w:r w:rsidRPr="00496DF7">
              <w:rPr>
                <w:rFonts w:cstheme="minorHAnsi"/>
                <w:color w:val="000000"/>
                <w:sz w:val="16"/>
                <w:szCs w:val="16"/>
                <w:lang w:eastAsia="en-GB"/>
              </w:rPr>
              <w:t xml:space="preserve"> cf. les brigades ou patrouilles IGF</w:t>
            </w:r>
          </w:p>
        </w:tc>
        <w:tc>
          <w:tcPr>
            <w:tcW w:w="2292" w:type="dxa"/>
            <w:gridSpan w:val="2"/>
            <w:shd w:val="clear" w:color="auto" w:fill="auto"/>
            <w:noWrap/>
          </w:tcPr>
          <w:p w14:paraId="242B8BD3" w14:textId="77777777" w:rsidR="009B6B98" w:rsidRPr="00496DF7" w:rsidRDefault="009B6B98" w:rsidP="00565083">
            <w:pPr>
              <w:rPr>
                <w:rFonts w:cstheme="minorHAnsi"/>
                <w:color w:val="000000"/>
                <w:sz w:val="16"/>
                <w:szCs w:val="16"/>
                <w:lang w:eastAsia="en-GB"/>
              </w:rPr>
            </w:pPr>
            <w:r w:rsidRPr="00496DF7">
              <w:rPr>
                <w:sz w:val="16"/>
                <w:szCs w:val="16"/>
              </w:rPr>
              <w:t>Exigence 5.2 : mécanismes de contrôle local et participation des communautés à la surveillance des revenus.</w:t>
            </w:r>
          </w:p>
        </w:tc>
      </w:tr>
      <w:tr w:rsidR="009B6B98" w:rsidRPr="00496DF7" w14:paraId="5C959503" w14:textId="77777777" w:rsidTr="00565083">
        <w:trPr>
          <w:trHeight w:val="315"/>
        </w:trPr>
        <w:tc>
          <w:tcPr>
            <w:tcW w:w="284" w:type="dxa"/>
            <w:shd w:val="clear" w:color="auto" w:fill="auto"/>
            <w:noWrap/>
          </w:tcPr>
          <w:p w14:paraId="5331821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27</w:t>
            </w:r>
          </w:p>
        </w:tc>
        <w:tc>
          <w:tcPr>
            <w:tcW w:w="2683" w:type="dxa"/>
            <w:shd w:val="clear" w:color="auto" w:fill="auto"/>
            <w:noWrap/>
            <w:vAlign w:val="center"/>
          </w:tcPr>
          <w:p w14:paraId="2D59056D" w14:textId="77777777" w:rsidR="009B6B98" w:rsidRPr="00496DF7" w:rsidRDefault="009B6B98" w:rsidP="00565083">
            <w:pPr>
              <w:jc w:val="both"/>
              <w:rPr>
                <w:rFonts w:cstheme="minorHAnsi"/>
                <w:sz w:val="16"/>
                <w:szCs w:val="16"/>
              </w:rPr>
            </w:pPr>
            <w:r w:rsidRPr="00496DF7">
              <w:rPr>
                <w:rFonts w:cstheme="minorHAnsi"/>
                <w:sz w:val="16"/>
                <w:szCs w:val="16"/>
              </w:rPr>
              <w:t>Assurer, par les entités bénéficiaires, la transparence pour plus de redevabilité des sommes réellement perçues au titre de la redevance minière et de leur affectation de la manière la plus détaillée possible</w:t>
            </w:r>
          </w:p>
        </w:tc>
        <w:tc>
          <w:tcPr>
            <w:tcW w:w="1981" w:type="dxa"/>
            <w:gridSpan w:val="2"/>
            <w:shd w:val="clear" w:color="auto" w:fill="auto"/>
            <w:noWrap/>
          </w:tcPr>
          <w:p w14:paraId="4B31E23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53C12E7A" w14:textId="77777777" w:rsidR="009B6B98" w:rsidRPr="00496DF7" w:rsidRDefault="009B6B98" w:rsidP="00565083">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3520E2E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Ministères des mines et des Finances</w:t>
            </w:r>
          </w:p>
        </w:tc>
        <w:tc>
          <w:tcPr>
            <w:tcW w:w="1850" w:type="dxa"/>
            <w:gridSpan w:val="2"/>
            <w:shd w:val="clear" w:color="auto" w:fill="auto"/>
            <w:noWrap/>
          </w:tcPr>
          <w:p w14:paraId="49AC7C1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7920B06D" w14:textId="77777777" w:rsidR="009B6B98" w:rsidRPr="00496DF7" w:rsidRDefault="009B6B98" w:rsidP="00565083">
            <w:pPr>
              <w:rPr>
                <w:rFonts w:cstheme="minorHAnsi"/>
                <w:color w:val="000000"/>
                <w:sz w:val="16"/>
                <w:szCs w:val="16"/>
                <w:lang w:eastAsia="en-GB"/>
              </w:rPr>
            </w:pPr>
            <w:proofErr w:type="spellStart"/>
            <w:r w:rsidRPr="00496DF7">
              <w:rPr>
                <w:rFonts w:cstheme="minorHAnsi"/>
                <w:color w:val="000000"/>
                <w:sz w:val="16"/>
                <w:szCs w:val="16"/>
                <w:lang w:eastAsia="en-GB"/>
              </w:rPr>
              <w:t>Realisé</w:t>
            </w:r>
            <w:proofErr w:type="spellEnd"/>
            <w:r w:rsidRPr="00496DF7">
              <w:rPr>
                <w:rFonts w:cstheme="minorHAnsi"/>
                <w:color w:val="000000"/>
                <w:sz w:val="16"/>
                <w:szCs w:val="16"/>
                <w:lang w:eastAsia="en-GB"/>
              </w:rPr>
              <w:t xml:space="preserve"> : voir </w:t>
            </w:r>
            <w:proofErr w:type="spellStart"/>
            <w:r w:rsidRPr="00496DF7">
              <w:rPr>
                <w:rFonts w:cstheme="minorHAnsi"/>
                <w:color w:val="000000"/>
                <w:sz w:val="16"/>
                <w:szCs w:val="16"/>
                <w:lang w:eastAsia="en-GB"/>
              </w:rPr>
              <w:t>Decret</w:t>
            </w:r>
            <w:proofErr w:type="spellEnd"/>
            <w:r w:rsidRPr="00496DF7">
              <w:rPr>
                <w:rFonts w:cstheme="minorHAnsi"/>
                <w:color w:val="000000"/>
                <w:sz w:val="16"/>
                <w:szCs w:val="16"/>
                <w:lang w:eastAsia="en-GB"/>
              </w:rPr>
              <w:t xml:space="preserve"> </w:t>
            </w:r>
          </w:p>
        </w:tc>
        <w:tc>
          <w:tcPr>
            <w:tcW w:w="2292" w:type="dxa"/>
            <w:gridSpan w:val="2"/>
            <w:shd w:val="clear" w:color="auto" w:fill="auto"/>
            <w:noWrap/>
          </w:tcPr>
          <w:p w14:paraId="761D4965" w14:textId="77777777" w:rsidR="009B6B98" w:rsidRPr="00496DF7" w:rsidRDefault="009B6B98" w:rsidP="00565083">
            <w:pPr>
              <w:rPr>
                <w:rFonts w:cstheme="minorHAnsi"/>
                <w:color w:val="000000"/>
                <w:sz w:val="16"/>
                <w:szCs w:val="18"/>
                <w:lang w:eastAsia="en-GB"/>
              </w:rPr>
            </w:pPr>
            <w:r w:rsidRPr="00496DF7">
              <w:rPr>
                <w:sz w:val="16"/>
                <w:szCs w:val="18"/>
              </w:rPr>
              <w:t>Exigence 5.2 : divulgation détaillée des sommes reçues et de leur affectation au niveau infranational.</w:t>
            </w:r>
          </w:p>
        </w:tc>
      </w:tr>
      <w:tr w:rsidR="009B6B98" w:rsidRPr="00496DF7" w14:paraId="20A165CC" w14:textId="77777777" w:rsidTr="00565083">
        <w:trPr>
          <w:trHeight w:val="315"/>
        </w:trPr>
        <w:tc>
          <w:tcPr>
            <w:tcW w:w="284" w:type="dxa"/>
            <w:shd w:val="clear" w:color="auto" w:fill="auto"/>
            <w:noWrap/>
          </w:tcPr>
          <w:p w14:paraId="71826E8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28</w:t>
            </w:r>
          </w:p>
        </w:tc>
        <w:tc>
          <w:tcPr>
            <w:tcW w:w="2683" w:type="dxa"/>
            <w:shd w:val="clear" w:color="auto" w:fill="auto"/>
            <w:noWrap/>
            <w:vAlign w:val="center"/>
          </w:tcPr>
          <w:p w14:paraId="33D71419" w14:textId="77777777" w:rsidR="009B6B98" w:rsidRPr="00496DF7" w:rsidRDefault="009B6B98" w:rsidP="00565083">
            <w:pPr>
              <w:jc w:val="both"/>
              <w:rPr>
                <w:rFonts w:cstheme="minorHAnsi"/>
                <w:sz w:val="16"/>
                <w:szCs w:val="16"/>
              </w:rPr>
            </w:pPr>
            <w:r w:rsidRPr="00496DF7">
              <w:rPr>
                <w:rFonts w:cstheme="minorHAnsi"/>
                <w:sz w:val="16"/>
                <w:szCs w:val="16"/>
              </w:rPr>
              <w:t>Encourager la création des Comités Locaux de Développement dans les entités qui en sont dépourvues et renforcer les capacités de celles existantes</w:t>
            </w:r>
          </w:p>
        </w:tc>
        <w:tc>
          <w:tcPr>
            <w:tcW w:w="1981" w:type="dxa"/>
            <w:gridSpan w:val="2"/>
            <w:shd w:val="clear" w:color="auto" w:fill="auto"/>
            <w:noWrap/>
          </w:tcPr>
          <w:p w14:paraId="5D2AE20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d’évaluation de l’exécution, par les entreprises, de leurs obligations sociales et environnementales</w:t>
            </w:r>
          </w:p>
        </w:tc>
        <w:tc>
          <w:tcPr>
            <w:tcW w:w="946" w:type="dxa"/>
            <w:shd w:val="clear" w:color="auto" w:fill="auto"/>
            <w:noWrap/>
          </w:tcPr>
          <w:p w14:paraId="512D929D" w14:textId="77777777" w:rsidR="009B6B98" w:rsidRPr="00496DF7" w:rsidRDefault="009B6B98" w:rsidP="00565083">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5C5E5EB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Gouvernement provincial, ETD, CE</w:t>
            </w:r>
          </w:p>
        </w:tc>
        <w:tc>
          <w:tcPr>
            <w:tcW w:w="1850" w:type="dxa"/>
            <w:gridSpan w:val="2"/>
            <w:shd w:val="clear" w:color="auto" w:fill="auto"/>
            <w:noWrap/>
          </w:tcPr>
          <w:p w14:paraId="2B653A0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656ED47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En cours </w:t>
            </w:r>
          </w:p>
        </w:tc>
        <w:tc>
          <w:tcPr>
            <w:tcW w:w="2292" w:type="dxa"/>
            <w:gridSpan w:val="2"/>
            <w:shd w:val="clear" w:color="auto" w:fill="auto"/>
            <w:noWrap/>
          </w:tcPr>
          <w:p w14:paraId="67D99120" w14:textId="77777777" w:rsidR="009B6B98" w:rsidRPr="00496DF7" w:rsidRDefault="009B6B98" w:rsidP="00565083">
            <w:pPr>
              <w:rPr>
                <w:rFonts w:cstheme="minorHAnsi"/>
                <w:color w:val="000000"/>
                <w:sz w:val="16"/>
                <w:szCs w:val="18"/>
                <w:lang w:eastAsia="en-GB"/>
              </w:rPr>
            </w:pPr>
            <w:r w:rsidRPr="00496DF7">
              <w:rPr>
                <w:sz w:val="16"/>
                <w:szCs w:val="18"/>
              </w:rPr>
              <w:t>Exigence 6.1 : dépenses sociales, développement local et participation des communautés.</w:t>
            </w:r>
          </w:p>
        </w:tc>
      </w:tr>
      <w:tr w:rsidR="009B6B98" w:rsidRPr="00496DF7" w14:paraId="67D01397" w14:textId="77777777" w:rsidTr="00565083">
        <w:trPr>
          <w:trHeight w:val="315"/>
        </w:trPr>
        <w:tc>
          <w:tcPr>
            <w:tcW w:w="284" w:type="dxa"/>
            <w:shd w:val="clear" w:color="auto" w:fill="auto"/>
            <w:noWrap/>
          </w:tcPr>
          <w:p w14:paraId="6ACB0F8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29</w:t>
            </w:r>
          </w:p>
        </w:tc>
        <w:tc>
          <w:tcPr>
            <w:tcW w:w="2683" w:type="dxa"/>
            <w:shd w:val="clear" w:color="auto" w:fill="auto"/>
            <w:noWrap/>
            <w:vAlign w:val="center"/>
          </w:tcPr>
          <w:p w14:paraId="0B1FDF1A" w14:textId="77777777" w:rsidR="009B6B98" w:rsidRPr="00496DF7" w:rsidRDefault="009B6B98" w:rsidP="00565083">
            <w:pPr>
              <w:jc w:val="both"/>
              <w:rPr>
                <w:rFonts w:cstheme="minorHAnsi"/>
                <w:sz w:val="16"/>
                <w:szCs w:val="16"/>
              </w:rPr>
            </w:pPr>
            <w:r w:rsidRPr="00496DF7">
              <w:rPr>
                <w:rFonts w:cstheme="minorHAnsi"/>
                <w:sz w:val="16"/>
                <w:szCs w:val="16"/>
              </w:rPr>
              <w:t>Respecter les procédures de passation des marchés dans l’attribution des contrats des travaux, biens et services à tout le niveau infranational et assurer la formation en cette matière aux autorités et fonctionnaires intervenant dans ce processus</w:t>
            </w:r>
          </w:p>
        </w:tc>
        <w:tc>
          <w:tcPr>
            <w:tcW w:w="1981" w:type="dxa"/>
            <w:gridSpan w:val="2"/>
            <w:shd w:val="clear" w:color="auto" w:fill="auto"/>
            <w:noWrap/>
          </w:tcPr>
          <w:p w14:paraId="60BEA45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d’évaluation de l’exécution, par les entreprises, de leurs obligations sociales et environnementales</w:t>
            </w:r>
          </w:p>
        </w:tc>
        <w:tc>
          <w:tcPr>
            <w:tcW w:w="946" w:type="dxa"/>
            <w:shd w:val="clear" w:color="auto" w:fill="auto"/>
            <w:noWrap/>
          </w:tcPr>
          <w:p w14:paraId="0CB26FED" w14:textId="77777777" w:rsidR="009B6B98" w:rsidRPr="00496DF7" w:rsidRDefault="009B6B98" w:rsidP="00565083">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347C88E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ETD</w:t>
            </w:r>
          </w:p>
        </w:tc>
        <w:tc>
          <w:tcPr>
            <w:tcW w:w="1850" w:type="dxa"/>
            <w:gridSpan w:val="2"/>
            <w:shd w:val="clear" w:color="auto" w:fill="auto"/>
            <w:noWrap/>
          </w:tcPr>
          <w:p w14:paraId="289DBDE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468BC7B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 (Cellules de passation des marchés installées)</w:t>
            </w:r>
          </w:p>
        </w:tc>
        <w:tc>
          <w:tcPr>
            <w:tcW w:w="2292" w:type="dxa"/>
            <w:gridSpan w:val="2"/>
            <w:shd w:val="clear" w:color="auto" w:fill="auto"/>
            <w:noWrap/>
          </w:tcPr>
          <w:p w14:paraId="7B78E402" w14:textId="77777777" w:rsidR="009B6B98" w:rsidRPr="00496DF7" w:rsidRDefault="009B6B98" w:rsidP="00565083">
            <w:pPr>
              <w:rPr>
                <w:rFonts w:cstheme="minorHAnsi"/>
                <w:color w:val="000000"/>
                <w:sz w:val="16"/>
                <w:szCs w:val="18"/>
                <w:lang w:eastAsia="en-GB"/>
              </w:rPr>
            </w:pPr>
            <w:r w:rsidRPr="00496DF7">
              <w:rPr>
                <w:sz w:val="16"/>
                <w:szCs w:val="18"/>
              </w:rPr>
              <w:t>Exigence 5.2 / 6.1 : transparence des dépenses infranationales et respect des procédures de passation des marchés.</w:t>
            </w:r>
          </w:p>
        </w:tc>
      </w:tr>
      <w:tr w:rsidR="009B6B98" w:rsidRPr="00496DF7" w14:paraId="11C05FA8" w14:textId="77777777" w:rsidTr="00565083">
        <w:trPr>
          <w:trHeight w:val="315"/>
        </w:trPr>
        <w:tc>
          <w:tcPr>
            <w:tcW w:w="284" w:type="dxa"/>
            <w:shd w:val="clear" w:color="auto" w:fill="auto"/>
            <w:noWrap/>
          </w:tcPr>
          <w:p w14:paraId="348C733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30</w:t>
            </w:r>
          </w:p>
        </w:tc>
        <w:tc>
          <w:tcPr>
            <w:tcW w:w="2683" w:type="dxa"/>
            <w:shd w:val="clear" w:color="auto" w:fill="auto"/>
            <w:noWrap/>
          </w:tcPr>
          <w:p w14:paraId="0B2D5D14" w14:textId="77777777" w:rsidR="009B6B98" w:rsidRPr="00496DF7" w:rsidRDefault="009B6B98" w:rsidP="00565083">
            <w:pPr>
              <w:rPr>
                <w:rFonts w:cstheme="minorHAnsi"/>
                <w:sz w:val="16"/>
                <w:szCs w:val="16"/>
              </w:rPr>
            </w:pPr>
            <w:r w:rsidRPr="00496DF7">
              <w:rPr>
                <w:rFonts w:cstheme="minorHAnsi"/>
                <w:sz w:val="16"/>
                <w:szCs w:val="16"/>
              </w:rPr>
              <w:t>Les provinces ainsi que les ETD doivent publier leurs budgets de sorte à ce que tout le monde puisse certifier la capacité de rétrocession des 10% des recettes pétrolières</w:t>
            </w:r>
          </w:p>
        </w:tc>
        <w:tc>
          <w:tcPr>
            <w:tcW w:w="1981" w:type="dxa"/>
            <w:gridSpan w:val="2"/>
            <w:shd w:val="clear" w:color="auto" w:fill="auto"/>
            <w:noWrap/>
          </w:tcPr>
          <w:p w14:paraId="6658760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Rapport sur l’état des lieux de la répartition et l’affectation de la redevance minière ainsi que la rétrocession de 10% des recettes pétrolières de </w:t>
            </w:r>
            <w:r w:rsidRPr="00496DF7">
              <w:rPr>
                <w:rFonts w:cstheme="minorHAnsi"/>
                <w:color w:val="000000"/>
                <w:sz w:val="16"/>
                <w:szCs w:val="16"/>
                <w:lang w:eastAsia="en-GB"/>
              </w:rPr>
              <w:lastRenderedPageBreak/>
              <w:t>la catégorie B aux provinces productrices</w:t>
            </w:r>
          </w:p>
        </w:tc>
        <w:tc>
          <w:tcPr>
            <w:tcW w:w="946" w:type="dxa"/>
            <w:shd w:val="clear" w:color="auto" w:fill="auto"/>
            <w:noWrap/>
          </w:tcPr>
          <w:p w14:paraId="6AB58386" w14:textId="77777777" w:rsidR="009B6B98" w:rsidRPr="00496DF7" w:rsidRDefault="009B6B98" w:rsidP="00565083">
            <w:pPr>
              <w:rPr>
                <w:sz w:val="16"/>
                <w:szCs w:val="18"/>
              </w:rPr>
            </w:pPr>
            <w:r w:rsidRPr="00496DF7">
              <w:rPr>
                <w:sz w:val="16"/>
                <w:szCs w:val="18"/>
              </w:rPr>
              <w:lastRenderedPageBreak/>
              <w:t>Élevé</w:t>
            </w:r>
          </w:p>
          <w:p w14:paraId="50838B5D" w14:textId="77777777" w:rsidR="009B6B98" w:rsidRPr="00496DF7" w:rsidRDefault="009B6B98" w:rsidP="00565083">
            <w:pPr>
              <w:rPr>
                <w:rFonts w:cstheme="minorHAnsi"/>
                <w:color w:val="000000"/>
                <w:sz w:val="16"/>
                <w:szCs w:val="16"/>
                <w:lang w:eastAsia="en-GB"/>
              </w:rPr>
            </w:pPr>
          </w:p>
        </w:tc>
        <w:tc>
          <w:tcPr>
            <w:tcW w:w="1930" w:type="dxa"/>
            <w:gridSpan w:val="3"/>
            <w:shd w:val="clear" w:color="auto" w:fill="auto"/>
            <w:noWrap/>
          </w:tcPr>
          <w:p w14:paraId="618646E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Gouvernement provincial, ETD et Régie Provinciale des recettes</w:t>
            </w:r>
          </w:p>
        </w:tc>
        <w:tc>
          <w:tcPr>
            <w:tcW w:w="1850" w:type="dxa"/>
            <w:gridSpan w:val="2"/>
            <w:shd w:val="clear" w:color="auto" w:fill="auto"/>
            <w:noWrap/>
          </w:tcPr>
          <w:p w14:paraId="775AD6C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72EE2F0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En cours (Cf. arrêté interministériel publié)</w:t>
            </w:r>
          </w:p>
        </w:tc>
        <w:tc>
          <w:tcPr>
            <w:tcW w:w="2292" w:type="dxa"/>
            <w:gridSpan w:val="2"/>
            <w:shd w:val="clear" w:color="auto" w:fill="auto"/>
            <w:noWrap/>
          </w:tcPr>
          <w:p w14:paraId="368E7236" w14:textId="77777777" w:rsidR="009B6B98" w:rsidRPr="00496DF7" w:rsidRDefault="009B6B98" w:rsidP="00565083">
            <w:pPr>
              <w:rPr>
                <w:rFonts w:cstheme="minorHAnsi"/>
                <w:color w:val="000000"/>
                <w:sz w:val="16"/>
                <w:szCs w:val="18"/>
                <w:lang w:eastAsia="en-GB"/>
              </w:rPr>
            </w:pPr>
            <w:r w:rsidRPr="00496DF7">
              <w:rPr>
                <w:sz w:val="16"/>
                <w:szCs w:val="18"/>
              </w:rPr>
              <w:t>Exigence 5.2 : transparence des budgets provinciaux et locaux et traçabilité des transferts.</w:t>
            </w:r>
          </w:p>
        </w:tc>
      </w:tr>
      <w:tr w:rsidR="009B6B98" w:rsidRPr="00496DF7" w14:paraId="7A342F6D" w14:textId="77777777" w:rsidTr="00565083">
        <w:trPr>
          <w:trHeight w:val="315"/>
        </w:trPr>
        <w:tc>
          <w:tcPr>
            <w:tcW w:w="284" w:type="dxa"/>
            <w:shd w:val="clear" w:color="auto" w:fill="auto"/>
            <w:noWrap/>
          </w:tcPr>
          <w:p w14:paraId="1C2261F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31</w:t>
            </w:r>
          </w:p>
        </w:tc>
        <w:tc>
          <w:tcPr>
            <w:tcW w:w="2683" w:type="dxa"/>
            <w:shd w:val="clear" w:color="auto" w:fill="auto"/>
            <w:noWrap/>
            <w:vAlign w:val="center"/>
          </w:tcPr>
          <w:p w14:paraId="6E13E69D" w14:textId="77777777" w:rsidR="009B6B98" w:rsidRPr="00496DF7" w:rsidRDefault="009B6B98" w:rsidP="00565083">
            <w:pPr>
              <w:jc w:val="both"/>
              <w:rPr>
                <w:rFonts w:cstheme="minorHAnsi"/>
                <w:sz w:val="16"/>
                <w:szCs w:val="16"/>
              </w:rPr>
            </w:pPr>
            <w:r w:rsidRPr="00496DF7">
              <w:rPr>
                <w:rFonts w:cstheme="minorHAnsi"/>
                <w:sz w:val="16"/>
                <w:szCs w:val="16"/>
              </w:rPr>
              <w:t>En complément des dispositions de la LOFIP sur la rétrocession de 10% des recettes pétrolières de catégorie B aux Provinces productrices, prendre les mesures d’application et désigner les organes en charge de la collecte, de la gestion et de la répartition de ces recettes</w:t>
            </w:r>
          </w:p>
        </w:tc>
        <w:tc>
          <w:tcPr>
            <w:tcW w:w="1981" w:type="dxa"/>
            <w:gridSpan w:val="2"/>
            <w:shd w:val="clear" w:color="auto" w:fill="auto"/>
            <w:noWrap/>
          </w:tcPr>
          <w:p w14:paraId="0C82F83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177A28E2" w14:textId="77777777" w:rsidR="009B6B98" w:rsidRPr="00496DF7" w:rsidRDefault="009B6B98" w:rsidP="00565083">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447F2F1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Gouvernement provincial</w:t>
            </w:r>
          </w:p>
        </w:tc>
        <w:tc>
          <w:tcPr>
            <w:tcW w:w="1850" w:type="dxa"/>
            <w:gridSpan w:val="2"/>
            <w:shd w:val="clear" w:color="auto" w:fill="auto"/>
            <w:noWrap/>
          </w:tcPr>
          <w:p w14:paraId="5E3E0F5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0DDE9CB3" w14:textId="77777777" w:rsidR="009B6B98" w:rsidRPr="00496DF7" w:rsidRDefault="009B6B98" w:rsidP="00565083">
            <w:pPr>
              <w:rPr>
                <w:rFonts w:cstheme="minorHAnsi"/>
                <w:color w:val="000000"/>
                <w:sz w:val="16"/>
                <w:szCs w:val="16"/>
                <w:lang w:eastAsia="en-GB"/>
              </w:rPr>
            </w:pPr>
            <w:proofErr w:type="gramStart"/>
            <w:r w:rsidRPr="00496DF7">
              <w:rPr>
                <w:rFonts w:cstheme="minorHAnsi"/>
                <w:color w:val="000000"/>
                <w:sz w:val="16"/>
                <w:szCs w:val="16"/>
                <w:lang w:eastAsia="en-GB"/>
              </w:rPr>
              <w:t>réalisé</w:t>
            </w:r>
            <w:proofErr w:type="gramEnd"/>
          </w:p>
        </w:tc>
        <w:tc>
          <w:tcPr>
            <w:tcW w:w="2292" w:type="dxa"/>
            <w:gridSpan w:val="2"/>
            <w:shd w:val="clear" w:color="auto" w:fill="auto"/>
            <w:noWrap/>
          </w:tcPr>
          <w:p w14:paraId="302E45B0" w14:textId="77777777" w:rsidR="009B6B98" w:rsidRPr="00496DF7" w:rsidRDefault="009B6B98" w:rsidP="00565083">
            <w:pPr>
              <w:rPr>
                <w:rFonts w:cstheme="minorHAnsi"/>
                <w:color w:val="000000"/>
                <w:sz w:val="16"/>
                <w:szCs w:val="18"/>
                <w:lang w:eastAsia="en-GB"/>
              </w:rPr>
            </w:pPr>
            <w:r w:rsidRPr="00496DF7">
              <w:rPr>
                <w:sz w:val="16"/>
                <w:szCs w:val="18"/>
              </w:rPr>
              <w:t>Exigence 5.2 : cadre institutionnel et modalités de collecte, gestion et répartition des recettes pétrolières déjà opérationnel8 par la DGR-KC.</w:t>
            </w:r>
          </w:p>
        </w:tc>
      </w:tr>
      <w:tr w:rsidR="009B6B98" w:rsidRPr="00496DF7" w14:paraId="2B87233E" w14:textId="77777777" w:rsidTr="00565083">
        <w:trPr>
          <w:trHeight w:val="315"/>
        </w:trPr>
        <w:tc>
          <w:tcPr>
            <w:tcW w:w="284" w:type="dxa"/>
            <w:shd w:val="clear" w:color="auto" w:fill="auto"/>
            <w:noWrap/>
          </w:tcPr>
          <w:p w14:paraId="3F0C552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32</w:t>
            </w:r>
          </w:p>
        </w:tc>
        <w:tc>
          <w:tcPr>
            <w:tcW w:w="2683" w:type="dxa"/>
            <w:shd w:val="clear" w:color="auto" w:fill="auto"/>
            <w:noWrap/>
          </w:tcPr>
          <w:p w14:paraId="572C341A" w14:textId="77777777" w:rsidR="009B6B98" w:rsidRPr="00496DF7" w:rsidRDefault="009B6B98" w:rsidP="00565083">
            <w:pPr>
              <w:rPr>
                <w:rFonts w:cstheme="minorHAnsi"/>
                <w:sz w:val="16"/>
                <w:szCs w:val="16"/>
              </w:rPr>
            </w:pPr>
            <w:r w:rsidRPr="00496DF7">
              <w:rPr>
                <w:rFonts w:cstheme="minorHAnsi"/>
                <w:sz w:val="16"/>
                <w:szCs w:val="16"/>
              </w:rPr>
              <w:t>Réaliser une étude de cadrage pour intégrer les revenus des ETD dans le périmètre des flux du secteur minier</w:t>
            </w:r>
          </w:p>
        </w:tc>
        <w:tc>
          <w:tcPr>
            <w:tcW w:w="1981" w:type="dxa"/>
            <w:gridSpan w:val="2"/>
            <w:shd w:val="clear" w:color="auto" w:fill="auto"/>
            <w:noWrap/>
          </w:tcPr>
          <w:p w14:paraId="55D7AF5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4E6EC45F"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0A703E9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CE</w:t>
            </w:r>
          </w:p>
        </w:tc>
        <w:tc>
          <w:tcPr>
            <w:tcW w:w="1850" w:type="dxa"/>
            <w:gridSpan w:val="2"/>
            <w:shd w:val="clear" w:color="auto" w:fill="auto"/>
            <w:noWrap/>
          </w:tcPr>
          <w:p w14:paraId="0F1DE4A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08DA6EB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Réalisé </w:t>
            </w:r>
          </w:p>
        </w:tc>
        <w:tc>
          <w:tcPr>
            <w:tcW w:w="2292" w:type="dxa"/>
            <w:gridSpan w:val="2"/>
            <w:shd w:val="clear" w:color="auto" w:fill="auto"/>
            <w:noWrap/>
          </w:tcPr>
          <w:p w14:paraId="3ED5CF86" w14:textId="77777777" w:rsidR="009B6B98" w:rsidRPr="00496DF7" w:rsidRDefault="009B6B98" w:rsidP="00565083">
            <w:pPr>
              <w:rPr>
                <w:rFonts w:cstheme="minorHAnsi"/>
                <w:color w:val="000000"/>
                <w:sz w:val="16"/>
                <w:szCs w:val="18"/>
                <w:lang w:eastAsia="en-GB"/>
              </w:rPr>
            </w:pPr>
            <w:r w:rsidRPr="00496DF7">
              <w:rPr>
                <w:sz w:val="16"/>
                <w:szCs w:val="18"/>
              </w:rPr>
              <w:t>Exigence 5.2 : intégration des revenus des ETD dans le périmètre du rapportage ITIE.</w:t>
            </w:r>
          </w:p>
        </w:tc>
      </w:tr>
      <w:tr w:rsidR="009B6B98" w:rsidRPr="00496DF7" w14:paraId="153709B4" w14:textId="77777777" w:rsidTr="00565083">
        <w:trPr>
          <w:trHeight w:val="315"/>
        </w:trPr>
        <w:tc>
          <w:tcPr>
            <w:tcW w:w="284" w:type="dxa"/>
            <w:shd w:val="clear" w:color="auto" w:fill="auto"/>
            <w:noWrap/>
          </w:tcPr>
          <w:p w14:paraId="7A5FDA0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33</w:t>
            </w:r>
          </w:p>
        </w:tc>
        <w:tc>
          <w:tcPr>
            <w:tcW w:w="2683" w:type="dxa"/>
            <w:shd w:val="clear" w:color="auto" w:fill="auto"/>
            <w:noWrap/>
            <w:vAlign w:val="center"/>
          </w:tcPr>
          <w:p w14:paraId="4A3B92C9" w14:textId="77777777" w:rsidR="009B6B98" w:rsidRPr="00496DF7" w:rsidRDefault="009B6B98" w:rsidP="00565083">
            <w:pPr>
              <w:jc w:val="both"/>
              <w:rPr>
                <w:rFonts w:cstheme="minorHAnsi"/>
                <w:sz w:val="16"/>
                <w:szCs w:val="16"/>
              </w:rPr>
            </w:pPr>
            <w:r w:rsidRPr="00496DF7">
              <w:rPr>
                <w:rFonts w:cstheme="minorHAnsi"/>
                <w:sz w:val="16"/>
                <w:szCs w:val="16"/>
              </w:rPr>
              <w:t>Améliorer les pratiques de divulgation des EP</w:t>
            </w:r>
          </w:p>
        </w:tc>
        <w:tc>
          <w:tcPr>
            <w:tcW w:w="1981" w:type="dxa"/>
            <w:gridSpan w:val="2"/>
            <w:shd w:val="clear" w:color="auto" w:fill="auto"/>
            <w:noWrap/>
          </w:tcPr>
          <w:p w14:paraId="6A7AFFD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le renforcement des divulgations des EP</w:t>
            </w:r>
          </w:p>
        </w:tc>
        <w:tc>
          <w:tcPr>
            <w:tcW w:w="946" w:type="dxa"/>
            <w:shd w:val="clear" w:color="auto" w:fill="auto"/>
            <w:noWrap/>
          </w:tcPr>
          <w:p w14:paraId="0BB688C5"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74A9ABF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 du Portefeuille, CE</w:t>
            </w:r>
          </w:p>
        </w:tc>
        <w:tc>
          <w:tcPr>
            <w:tcW w:w="1850" w:type="dxa"/>
            <w:gridSpan w:val="2"/>
            <w:shd w:val="clear" w:color="auto" w:fill="auto"/>
            <w:noWrap/>
          </w:tcPr>
          <w:p w14:paraId="2C37A1C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28</w:t>
            </w:r>
          </w:p>
        </w:tc>
        <w:tc>
          <w:tcPr>
            <w:tcW w:w="2883" w:type="dxa"/>
            <w:gridSpan w:val="2"/>
          </w:tcPr>
          <w:p w14:paraId="6D46818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Réalisé </w:t>
            </w:r>
          </w:p>
        </w:tc>
        <w:tc>
          <w:tcPr>
            <w:tcW w:w="2292" w:type="dxa"/>
            <w:gridSpan w:val="2"/>
            <w:shd w:val="clear" w:color="auto" w:fill="auto"/>
            <w:noWrap/>
          </w:tcPr>
          <w:p w14:paraId="44E4B66B" w14:textId="77777777" w:rsidR="009B6B98" w:rsidRPr="00496DF7" w:rsidRDefault="009B6B98" w:rsidP="00565083">
            <w:pPr>
              <w:rPr>
                <w:rFonts w:cstheme="minorHAnsi"/>
                <w:color w:val="000000"/>
                <w:sz w:val="16"/>
                <w:szCs w:val="18"/>
                <w:lang w:eastAsia="en-GB"/>
              </w:rPr>
            </w:pPr>
            <w:r w:rsidRPr="00496DF7">
              <w:rPr>
                <w:sz w:val="16"/>
                <w:szCs w:val="18"/>
              </w:rPr>
              <w:t>Exigences 4.5 et 6.2 : divulgation des entreprises publiques et des relations financières avec l’État.</w:t>
            </w:r>
          </w:p>
        </w:tc>
      </w:tr>
      <w:tr w:rsidR="009B6B98" w:rsidRPr="00496DF7" w14:paraId="6F612A87" w14:textId="77777777" w:rsidTr="00565083">
        <w:trPr>
          <w:trHeight w:val="315"/>
        </w:trPr>
        <w:tc>
          <w:tcPr>
            <w:tcW w:w="284" w:type="dxa"/>
            <w:shd w:val="clear" w:color="auto" w:fill="auto"/>
            <w:noWrap/>
          </w:tcPr>
          <w:p w14:paraId="7B7C084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34</w:t>
            </w:r>
          </w:p>
        </w:tc>
        <w:tc>
          <w:tcPr>
            <w:tcW w:w="2683" w:type="dxa"/>
            <w:shd w:val="clear" w:color="auto" w:fill="auto"/>
            <w:noWrap/>
          </w:tcPr>
          <w:p w14:paraId="60561CA6" w14:textId="77777777" w:rsidR="009B6B98" w:rsidRPr="00496DF7" w:rsidRDefault="009B6B98" w:rsidP="00565083">
            <w:pPr>
              <w:rPr>
                <w:rFonts w:cstheme="minorHAnsi"/>
                <w:sz w:val="16"/>
                <w:szCs w:val="16"/>
              </w:rPr>
            </w:pPr>
            <w:r w:rsidRPr="00496DF7">
              <w:rPr>
                <w:rFonts w:cstheme="minorHAnsi"/>
                <w:sz w:val="16"/>
                <w:szCs w:val="16"/>
              </w:rPr>
              <w:t xml:space="preserve">Réévaluer l’étude de faisabilité de </w:t>
            </w:r>
            <w:proofErr w:type="spellStart"/>
            <w:r w:rsidRPr="00496DF7">
              <w:rPr>
                <w:rFonts w:cstheme="minorHAnsi"/>
                <w:sz w:val="16"/>
                <w:szCs w:val="16"/>
              </w:rPr>
              <w:t>Sicomines</w:t>
            </w:r>
            <w:proofErr w:type="spellEnd"/>
            <w:r w:rsidRPr="00496DF7">
              <w:rPr>
                <w:rFonts w:cstheme="minorHAnsi"/>
                <w:sz w:val="16"/>
                <w:szCs w:val="16"/>
              </w:rPr>
              <w:t xml:space="preserve"> par un cabinet d’audit indépendant_ SICOMINES</w:t>
            </w:r>
          </w:p>
        </w:tc>
        <w:tc>
          <w:tcPr>
            <w:tcW w:w="1981" w:type="dxa"/>
            <w:gridSpan w:val="2"/>
            <w:shd w:val="clear" w:color="auto" w:fill="auto"/>
            <w:noWrap/>
          </w:tcPr>
          <w:p w14:paraId="6296078F"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30ACF16F" w14:textId="77777777" w:rsidR="009B6B98" w:rsidRPr="00496DF7" w:rsidRDefault="009B6B98" w:rsidP="00565083">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75B70C28"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 des mines, CE</w:t>
            </w:r>
          </w:p>
        </w:tc>
        <w:tc>
          <w:tcPr>
            <w:tcW w:w="1850" w:type="dxa"/>
            <w:gridSpan w:val="2"/>
            <w:shd w:val="clear" w:color="auto" w:fill="auto"/>
            <w:noWrap/>
          </w:tcPr>
          <w:p w14:paraId="0A5A5CC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47A54CA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Non </w:t>
            </w:r>
            <w:proofErr w:type="spellStart"/>
            <w:r w:rsidRPr="00496DF7">
              <w:rPr>
                <w:rFonts w:cstheme="minorHAnsi"/>
                <w:color w:val="000000"/>
                <w:sz w:val="16"/>
                <w:szCs w:val="16"/>
                <w:lang w:eastAsia="en-GB"/>
              </w:rPr>
              <w:t>realisé</w:t>
            </w:r>
            <w:proofErr w:type="spellEnd"/>
          </w:p>
        </w:tc>
        <w:tc>
          <w:tcPr>
            <w:tcW w:w="2292" w:type="dxa"/>
            <w:gridSpan w:val="2"/>
            <w:shd w:val="clear" w:color="auto" w:fill="auto"/>
            <w:noWrap/>
          </w:tcPr>
          <w:p w14:paraId="2B798146" w14:textId="77777777" w:rsidR="009B6B98" w:rsidRPr="00496DF7" w:rsidRDefault="009B6B98" w:rsidP="00565083">
            <w:pPr>
              <w:rPr>
                <w:rFonts w:cstheme="minorHAnsi"/>
                <w:color w:val="000000"/>
                <w:sz w:val="16"/>
                <w:szCs w:val="18"/>
                <w:lang w:eastAsia="en-GB"/>
              </w:rPr>
            </w:pPr>
            <w:r w:rsidRPr="00496DF7">
              <w:rPr>
                <w:sz w:val="16"/>
                <w:szCs w:val="18"/>
              </w:rPr>
              <w:t>Validation ITIE-RDC 2022 : À suivre dans le PTBA 2026.</w:t>
            </w:r>
          </w:p>
        </w:tc>
      </w:tr>
      <w:tr w:rsidR="009B6B98" w:rsidRPr="00496DF7" w14:paraId="60180CEB" w14:textId="77777777" w:rsidTr="00565083">
        <w:trPr>
          <w:trHeight w:val="315"/>
        </w:trPr>
        <w:tc>
          <w:tcPr>
            <w:tcW w:w="284" w:type="dxa"/>
            <w:shd w:val="clear" w:color="auto" w:fill="auto"/>
            <w:noWrap/>
          </w:tcPr>
          <w:p w14:paraId="7DA95D8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35</w:t>
            </w:r>
          </w:p>
        </w:tc>
        <w:tc>
          <w:tcPr>
            <w:tcW w:w="2683" w:type="dxa"/>
            <w:shd w:val="clear" w:color="auto" w:fill="auto"/>
            <w:noWrap/>
          </w:tcPr>
          <w:p w14:paraId="6576C243" w14:textId="77777777" w:rsidR="009B6B98" w:rsidRPr="00496DF7" w:rsidRDefault="009B6B98" w:rsidP="00565083">
            <w:pPr>
              <w:rPr>
                <w:rFonts w:cstheme="minorHAnsi"/>
                <w:sz w:val="16"/>
                <w:szCs w:val="16"/>
              </w:rPr>
            </w:pPr>
            <w:r w:rsidRPr="00496DF7">
              <w:rPr>
                <w:rFonts w:cstheme="minorHAnsi"/>
                <w:sz w:val="16"/>
                <w:szCs w:val="16"/>
              </w:rPr>
              <w:t>Restructurer le capital social de l’entreprise en fonction des apports réels de chaque associé_ SICOMINES</w:t>
            </w:r>
          </w:p>
        </w:tc>
        <w:tc>
          <w:tcPr>
            <w:tcW w:w="1981" w:type="dxa"/>
            <w:gridSpan w:val="2"/>
            <w:shd w:val="clear" w:color="auto" w:fill="auto"/>
            <w:noWrap/>
          </w:tcPr>
          <w:p w14:paraId="18076EA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702D3FEE"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12FA74F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 des mines, CE</w:t>
            </w:r>
          </w:p>
        </w:tc>
        <w:tc>
          <w:tcPr>
            <w:tcW w:w="1850" w:type="dxa"/>
            <w:gridSpan w:val="2"/>
            <w:shd w:val="clear" w:color="auto" w:fill="auto"/>
            <w:noWrap/>
          </w:tcPr>
          <w:p w14:paraId="2D64EF2F"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1438A94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w:t>
            </w:r>
          </w:p>
        </w:tc>
        <w:tc>
          <w:tcPr>
            <w:tcW w:w="2292" w:type="dxa"/>
            <w:gridSpan w:val="2"/>
            <w:shd w:val="clear" w:color="auto" w:fill="auto"/>
            <w:noWrap/>
          </w:tcPr>
          <w:p w14:paraId="5CC3D6E6" w14:textId="77777777" w:rsidR="009B6B98" w:rsidRPr="00496DF7" w:rsidRDefault="009B6B98" w:rsidP="00565083">
            <w:pPr>
              <w:rPr>
                <w:rFonts w:cstheme="minorHAnsi"/>
                <w:color w:val="000000"/>
                <w:sz w:val="16"/>
                <w:szCs w:val="18"/>
                <w:lang w:eastAsia="en-GB"/>
              </w:rPr>
            </w:pPr>
          </w:p>
        </w:tc>
      </w:tr>
      <w:tr w:rsidR="009B6B98" w:rsidRPr="00496DF7" w14:paraId="6A47A38D" w14:textId="77777777" w:rsidTr="00565083">
        <w:trPr>
          <w:trHeight w:val="315"/>
        </w:trPr>
        <w:tc>
          <w:tcPr>
            <w:tcW w:w="284" w:type="dxa"/>
            <w:shd w:val="clear" w:color="auto" w:fill="auto"/>
            <w:noWrap/>
          </w:tcPr>
          <w:p w14:paraId="15B48BA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36</w:t>
            </w:r>
          </w:p>
        </w:tc>
        <w:tc>
          <w:tcPr>
            <w:tcW w:w="2683" w:type="dxa"/>
            <w:shd w:val="clear" w:color="auto" w:fill="auto"/>
            <w:noWrap/>
          </w:tcPr>
          <w:p w14:paraId="4A5D8DC8" w14:textId="77777777" w:rsidR="009B6B98" w:rsidRPr="00496DF7" w:rsidRDefault="009B6B98" w:rsidP="00565083">
            <w:pPr>
              <w:rPr>
                <w:rFonts w:cstheme="minorHAnsi"/>
                <w:sz w:val="16"/>
                <w:szCs w:val="16"/>
              </w:rPr>
            </w:pPr>
            <w:r w:rsidRPr="00496DF7">
              <w:rPr>
                <w:rFonts w:cstheme="minorHAnsi"/>
                <w:sz w:val="16"/>
                <w:szCs w:val="16"/>
              </w:rPr>
              <w:t>Renégocier l’avenant n°4 à l’accord du 22/04/2008_ SICOMINES</w:t>
            </w:r>
          </w:p>
        </w:tc>
        <w:tc>
          <w:tcPr>
            <w:tcW w:w="1981" w:type="dxa"/>
            <w:gridSpan w:val="2"/>
            <w:shd w:val="clear" w:color="auto" w:fill="auto"/>
            <w:noWrap/>
          </w:tcPr>
          <w:p w14:paraId="021519E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7E8EBFF9" w14:textId="77777777" w:rsidR="009B6B98" w:rsidRPr="00496DF7" w:rsidRDefault="009B6B98" w:rsidP="00565083">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4567C19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Ministère des mines, CE</w:t>
            </w:r>
          </w:p>
        </w:tc>
        <w:tc>
          <w:tcPr>
            <w:tcW w:w="1850" w:type="dxa"/>
            <w:gridSpan w:val="2"/>
            <w:shd w:val="clear" w:color="auto" w:fill="auto"/>
            <w:noWrap/>
          </w:tcPr>
          <w:p w14:paraId="387AEB0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5E96C98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 (Cf. avenant n° 5 du 14 mars 2024)</w:t>
            </w:r>
          </w:p>
        </w:tc>
        <w:tc>
          <w:tcPr>
            <w:tcW w:w="2292" w:type="dxa"/>
            <w:gridSpan w:val="2"/>
            <w:shd w:val="clear" w:color="auto" w:fill="auto"/>
            <w:noWrap/>
          </w:tcPr>
          <w:p w14:paraId="59BE080C" w14:textId="77777777" w:rsidR="009B6B98" w:rsidRPr="00496DF7" w:rsidRDefault="009B6B98" w:rsidP="00565083">
            <w:pPr>
              <w:rPr>
                <w:rFonts w:cstheme="minorHAnsi"/>
                <w:color w:val="000000"/>
                <w:sz w:val="16"/>
                <w:szCs w:val="18"/>
                <w:lang w:eastAsia="en-GB"/>
              </w:rPr>
            </w:pPr>
          </w:p>
        </w:tc>
      </w:tr>
      <w:tr w:rsidR="009B6B98" w:rsidRPr="00496DF7" w14:paraId="62C02E3C" w14:textId="77777777" w:rsidTr="00565083">
        <w:trPr>
          <w:trHeight w:val="315"/>
        </w:trPr>
        <w:tc>
          <w:tcPr>
            <w:tcW w:w="284" w:type="dxa"/>
            <w:shd w:val="clear" w:color="auto" w:fill="auto"/>
            <w:noWrap/>
          </w:tcPr>
          <w:p w14:paraId="595A475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37</w:t>
            </w:r>
          </w:p>
        </w:tc>
        <w:tc>
          <w:tcPr>
            <w:tcW w:w="2683" w:type="dxa"/>
            <w:shd w:val="clear" w:color="auto" w:fill="auto"/>
            <w:noWrap/>
          </w:tcPr>
          <w:p w14:paraId="776FBCC1" w14:textId="77777777" w:rsidR="009B6B98" w:rsidRPr="00496DF7" w:rsidRDefault="009B6B98" w:rsidP="00565083">
            <w:pPr>
              <w:rPr>
                <w:rFonts w:cstheme="minorHAnsi"/>
                <w:sz w:val="16"/>
                <w:szCs w:val="16"/>
              </w:rPr>
            </w:pPr>
            <w:r w:rsidRPr="00496DF7">
              <w:rPr>
                <w:rFonts w:cstheme="minorHAnsi"/>
                <w:sz w:val="16"/>
                <w:szCs w:val="16"/>
              </w:rPr>
              <w:t>Sélection et la budgétisation des infrastructures restantes_ SICOMINES</w:t>
            </w:r>
          </w:p>
        </w:tc>
        <w:tc>
          <w:tcPr>
            <w:tcW w:w="1981" w:type="dxa"/>
            <w:gridSpan w:val="2"/>
            <w:shd w:val="clear" w:color="auto" w:fill="auto"/>
            <w:noWrap/>
          </w:tcPr>
          <w:p w14:paraId="14A92463"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37E5AF93"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018D6A6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2938B12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7EF067E0" w14:textId="77777777" w:rsidR="009B6B98" w:rsidRPr="00496DF7" w:rsidRDefault="009B6B98" w:rsidP="00565083">
            <w:pPr>
              <w:rPr>
                <w:rFonts w:cstheme="minorHAnsi"/>
                <w:color w:val="000000"/>
                <w:sz w:val="16"/>
                <w:szCs w:val="16"/>
                <w:lang w:eastAsia="en-GB"/>
              </w:rPr>
            </w:pPr>
            <w:proofErr w:type="spellStart"/>
            <w:proofErr w:type="gramStart"/>
            <w:r w:rsidRPr="00496DF7">
              <w:rPr>
                <w:rFonts w:cstheme="minorHAnsi"/>
                <w:color w:val="000000"/>
                <w:sz w:val="16"/>
                <w:szCs w:val="16"/>
                <w:lang w:eastAsia="en-GB"/>
              </w:rPr>
              <w:t>Realisé</w:t>
            </w:r>
            <w:proofErr w:type="spellEnd"/>
            <w:r w:rsidRPr="00496DF7">
              <w:rPr>
                <w:rFonts w:cstheme="minorHAnsi"/>
                <w:color w:val="000000"/>
                <w:sz w:val="16"/>
                <w:szCs w:val="16"/>
                <w:lang w:eastAsia="en-GB"/>
              </w:rPr>
              <w:t>:</w:t>
            </w:r>
            <w:proofErr w:type="gramEnd"/>
            <w:r w:rsidRPr="00496DF7">
              <w:rPr>
                <w:rFonts w:cstheme="minorHAnsi"/>
                <w:color w:val="000000"/>
                <w:sz w:val="16"/>
                <w:szCs w:val="16"/>
                <w:lang w:eastAsia="en-GB"/>
              </w:rPr>
              <w:t xml:space="preserve"> Activité </w:t>
            </w:r>
            <w:proofErr w:type="spellStart"/>
            <w:r w:rsidRPr="00496DF7">
              <w:rPr>
                <w:rFonts w:cstheme="minorHAnsi"/>
                <w:color w:val="000000"/>
                <w:sz w:val="16"/>
                <w:szCs w:val="16"/>
                <w:lang w:eastAsia="en-GB"/>
              </w:rPr>
              <w:t>iterative</w:t>
            </w:r>
            <w:proofErr w:type="spellEnd"/>
          </w:p>
        </w:tc>
        <w:tc>
          <w:tcPr>
            <w:tcW w:w="2292" w:type="dxa"/>
            <w:gridSpan w:val="2"/>
            <w:shd w:val="clear" w:color="auto" w:fill="auto"/>
            <w:noWrap/>
          </w:tcPr>
          <w:p w14:paraId="67CDF1C0" w14:textId="77777777" w:rsidR="009B6B98" w:rsidRPr="00496DF7" w:rsidRDefault="009B6B98" w:rsidP="00565083">
            <w:pPr>
              <w:rPr>
                <w:rFonts w:cstheme="minorHAnsi"/>
                <w:color w:val="000000"/>
                <w:sz w:val="16"/>
                <w:szCs w:val="18"/>
                <w:lang w:eastAsia="en-GB"/>
              </w:rPr>
            </w:pPr>
          </w:p>
        </w:tc>
      </w:tr>
      <w:tr w:rsidR="009B6B98" w:rsidRPr="00496DF7" w14:paraId="2B16D40D" w14:textId="77777777" w:rsidTr="00565083">
        <w:trPr>
          <w:trHeight w:val="315"/>
        </w:trPr>
        <w:tc>
          <w:tcPr>
            <w:tcW w:w="284" w:type="dxa"/>
            <w:shd w:val="clear" w:color="auto" w:fill="auto"/>
            <w:noWrap/>
          </w:tcPr>
          <w:p w14:paraId="01BAABB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lastRenderedPageBreak/>
              <w:t>38</w:t>
            </w:r>
          </w:p>
        </w:tc>
        <w:tc>
          <w:tcPr>
            <w:tcW w:w="2683" w:type="dxa"/>
            <w:shd w:val="clear" w:color="auto" w:fill="auto"/>
            <w:noWrap/>
          </w:tcPr>
          <w:p w14:paraId="71592406" w14:textId="77777777" w:rsidR="009B6B98" w:rsidRPr="00496DF7" w:rsidRDefault="009B6B98" w:rsidP="00565083">
            <w:pPr>
              <w:rPr>
                <w:rFonts w:cstheme="minorHAnsi"/>
                <w:sz w:val="16"/>
                <w:szCs w:val="16"/>
              </w:rPr>
            </w:pPr>
            <w:r w:rsidRPr="00496DF7">
              <w:rPr>
                <w:rFonts w:cstheme="minorHAnsi"/>
                <w:sz w:val="16"/>
                <w:szCs w:val="16"/>
              </w:rPr>
              <w:t>Organisation d’un cadre institutionnel pour la sélection des infrastructures_ SICOMINES</w:t>
            </w:r>
          </w:p>
        </w:tc>
        <w:tc>
          <w:tcPr>
            <w:tcW w:w="1981" w:type="dxa"/>
            <w:gridSpan w:val="2"/>
            <w:shd w:val="clear" w:color="auto" w:fill="auto"/>
            <w:noWrap/>
          </w:tcPr>
          <w:p w14:paraId="03C7F70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295C102C" w14:textId="77777777" w:rsidR="009B6B98" w:rsidRPr="00496DF7" w:rsidRDefault="009B6B98" w:rsidP="00565083">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4BE538E8"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33C4FCB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271FC98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w:t>
            </w:r>
          </w:p>
        </w:tc>
        <w:tc>
          <w:tcPr>
            <w:tcW w:w="2292" w:type="dxa"/>
            <w:gridSpan w:val="2"/>
            <w:shd w:val="clear" w:color="auto" w:fill="auto"/>
            <w:noWrap/>
          </w:tcPr>
          <w:p w14:paraId="09841498" w14:textId="77777777" w:rsidR="009B6B98" w:rsidRPr="00496DF7" w:rsidRDefault="009B6B98" w:rsidP="00565083">
            <w:pPr>
              <w:rPr>
                <w:rFonts w:cstheme="minorHAnsi"/>
                <w:color w:val="000000"/>
                <w:sz w:val="16"/>
                <w:szCs w:val="18"/>
                <w:lang w:eastAsia="en-GB"/>
              </w:rPr>
            </w:pPr>
          </w:p>
        </w:tc>
      </w:tr>
      <w:tr w:rsidR="009B6B98" w:rsidRPr="00496DF7" w14:paraId="46B207FD" w14:textId="77777777" w:rsidTr="00565083">
        <w:trPr>
          <w:trHeight w:val="315"/>
        </w:trPr>
        <w:tc>
          <w:tcPr>
            <w:tcW w:w="284" w:type="dxa"/>
            <w:shd w:val="clear" w:color="auto" w:fill="auto"/>
            <w:noWrap/>
          </w:tcPr>
          <w:p w14:paraId="25D1BF7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39</w:t>
            </w:r>
          </w:p>
        </w:tc>
        <w:tc>
          <w:tcPr>
            <w:tcW w:w="2683" w:type="dxa"/>
            <w:shd w:val="clear" w:color="auto" w:fill="auto"/>
            <w:noWrap/>
          </w:tcPr>
          <w:p w14:paraId="7AAB9378" w14:textId="77777777" w:rsidR="009B6B98" w:rsidRPr="00496DF7" w:rsidRDefault="009B6B98" w:rsidP="00565083">
            <w:pPr>
              <w:rPr>
                <w:rFonts w:cstheme="minorHAnsi"/>
                <w:sz w:val="16"/>
                <w:szCs w:val="16"/>
              </w:rPr>
            </w:pPr>
            <w:r w:rsidRPr="00496DF7">
              <w:rPr>
                <w:rFonts w:cstheme="minorHAnsi"/>
                <w:sz w:val="16"/>
                <w:szCs w:val="16"/>
              </w:rPr>
              <w:t>Sélection objective des infrastructures_ SICOMINES</w:t>
            </w:r>
          </w:p>
        </w:tc>
        <w:tc>
          <w:tcPr>
            <w:tcW w:w="1981" w:type="dxa"/>
            <w:gridSpan w:val="2"/>
            <w:shd w:val="clear" w:color="auto" w:fill="auto"/>
            <w:noWrap/>
          </w:tcPr>
          <w:p w14:paraId="23454ED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34EF6042" w14:textId="77777777" w:rsidR="009B6B98" w:rsidRPr="00496DF7" w:rsidRDefault="009B6B98" w:rsidP="00565083">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5E4C940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3AD69D8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5666934B" w14:textId="77777777" w:rsidR="009B6B98" w:rsidRPr="00496DF7" w:rsidRDefault="009B6B98" w:rsidP="00565083">
            <w:pPr>
              <w:rPr>
                <w:rFonts w:cstheme="minorHAnsi"/>
                <w:color w:val="000000"/>
                <w:sz w:val="16"/>
                <w:szCs w:val="16"/>
                <w:lang w:eastAsia="en-GB"/>
              </w:rPr>
            </w:pPr>
            <w:proofErr w:type="spellStart"/>
            <w:proofErr w:type="gramStart"/>
            <w:r w:rsidRPr="00496DF7">
              <w:rPr>
                <w:rFonts w:cstheme="minorHAnsi"/>
                <w:color w:val="000000"/>
                <w:sz w:val="16"/>
                <w:szCs w:val="16"/>
                <w:lang w:eastAsia="en-GB"/>
              </w:rPr>
              <w:t>Realisé</w:t>
            </w:r>
            <w:proofErr w:type="spellEnd"/>
            <w:r w:rsidRPr="00496DF7">
              <w:rPr>
                <w:rFonts w:cstheme="minorHAnsi"/>
                <w:color w:val="000000"/>
                <w:sz w:val="16"/>
                <w:szCs w:val="16"/>
                <w:lang w:eastAsia="en-GB"/>
              </w:rPr>
              <w:t>:</w:t>
            </w:r>
            <w:proofErr w:type="gramEnd"/>
            <w:r w:rsidRPr="00496DF7">
              <w:rPr>
                <w:rFonts w:cstheme="minorHAnsi"/>
                <w:color w:val="000000"/>
                <w:sz w:val="16"/>
                <w:szCs w:val="16"/>
                <w:lang w:eastAsia="en-GB"/>
              </w:rPr>
              <w:t xml:space="preserve"> Itération</w:t>
            </w:r>
          </w:p>
        </w:tc>
        <w:tc>
          <w:tcPr>
            <w:tcW w:w="2292" w:type="dxa"/>
            <w:gridSpan w:val="2"/>
            <w:shd w:val="clear" w:color="auto" w:fill="auto"/>
            <w:noWrap/>
          </w:tcPr>
          <w:p w14:paraId="382D8E1F" w14:textId="77777777" w:rsidR="009B6B98" w:rsidRPr="00496DF7" w:rsidRDefault="009B6B98" w:rsidP="00565083">
            <w:pPr>
              <w:rPr>
                <w:rFonts w:cstheme="minorHAnsi"/>
                <w:color w:val="000000"/>
                <w:sz w:val="16"/>
                <w:szCs w:val="18"/>
                <w:lang w:eastAsia="en-GB"/>
              </w:rPr>
            </w:pPr>
          </w:p>
        </w:tc>
      </w:tr>
      <w:tr w:rsidR="009B6B98" w:rsidRPr="00496DF7" w14:paraId="71F74B2D" w14:textId="77777777" w:rsidTr="00565083">
        <w:trPr>
          <w:trHeight w:val="315"/>
        </w:trPr>
        <w:tc>
          <w:tcPr>
            <w:tcW w:w="284" w:type="dxa"/>
            <w:shd w:val="clear" w:color="auto" w:fill="auto"/>
            <w:noWrap/>
          </w:tcPr>
          <w:p w14:paraId="36E94EC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40</w:t>
            </w:r>
          </w:p>
        </w:tc>
        <w:tc>
          <w:tcPr>
            <w:tcW w:w="2683" w:type="dxa"/>
            <w:shd w:val="clear" w:color="auto" w:fill="auto"/>
            <w:noWrap/>
          </w:tcPr>
          <w:p w14:paraId="2F7EED6C" w14:textId="77777777" w:rsidR="009B6B98" w:rsidRPr="00496DF7" w:rsidRDefault="009B6B98" w:rsidP="00565083">
            <w:pPr>
              <w:rPr>
                <w:rFonts w:cstheme="minorHAnsi"/>
                <w:sz w:val="16"/>
                <w:szCs w:val="16"/>
              </w:rPr>
            </w:pPr>
            <w:r w:rsidRPr="00496DF7">
              <w:rPr>
                <w:rFonts w:cstheme="minorHAnsi"/>
                <w:sz w:val="16"/>
                <w:szCs w:val="16"/>
              </w:rPr>
              <w:t>Budgétisation conséquente des infrastructures sélectionnées_ SICOMINES</w:t>
            </w:r>
          </w:p>
        </w:tc>
        <w:tc>
          <w:tcPr>
            <w:tcW w:w="1981" w:type="dxa"/>
            <w:gridSpan w:val="2"/>
            <w:shd w:val="clear" w:color="auto" w:fill="auto"/>
            <w:noWrap/>
          </w:tcPr>
          <w:p w14:paraId="336721A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1681C55A" w14:textId="77777777" w:rsidR="009B6B98" w:rsidRPr="00496DF7" w:rsidRDefault="009B6B98" w:rsidP="00565083">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0B7CD97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4FAEDCC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0257B900" w14:textId="77777777" w:rsidR="009B6B98" w:rsidRPr="00496DF7" w:rsidRDefault="009B6B98" w:rsidP="00565083">
            <w:pPr>
              <w:rPr>
                <w:rFonts w:cstheme="minorHAnsi"/>
                <w:color w:val="000000"/>
                <w:sz w:val="16"/>
                <w:szCs w:val="16"/>
                <w:lang w:eastAsia="en-GB"/>
              </w:rPr>
            </w:pPr>
            <w:proofErr w:type="spellStart"/>
            <w:proofErr w:type="gramStart"/>
            <w:r w:rsidRPr="00496DF7">
              <w:rPr>
                <w:rFonts w:cstheme="minorHAnsi"/>
                <w:color w:val="000000"/>
                <w:sz w:val="16"/>
                <w:szCs w:val="16"/>
                <w:lang w:eastAsia="en-GB"/>
              </w:rPr>
              <w:t>Realisé</w:t>
            </w:r>
            <w:proofErr w:type="spellEnd"/>
            <w:r w:rsidRPr="00496DF7">
              <w:rPr>
                <w:rFonts w:cstheme="minorHAnsi"/>
                <w:color w:val="000000"/>
                <w:sz w:val="16"/>
                <w:szCs w:val="16"/>
                <w:lang w:eastAsia="en-GB"/>
              </w:rPr>
              <w:t>:</w:t>
            </w:r>
            <w:proofErr w:type="gramEnd"/>
            <w:r w:rsidRPr="00496DF7">
              <w:rPr>
                <w:rFonts w:cstheme="minorHAnsi"/>
                <w:color w:val="000000"/>
                <w:sz w:val="16"/>
                <w:szCs w:val="16"/>
                <w:lang w:eastAsia="en-GB"/>
              </w:rPr>
              <w:t xml:space="preserve"> Itération</w:t>
            </w:r>
          </w:p>
        </w:tc>
        <w:tc>
          <w:tcPr>
            <w:tcW w:w="2292" w:type="dxa"/>
            <w:gridSpan w:val="2"/>
            <w:shd w:val="clear" w:color="auto" w:fill="auto"/>
            <w:noWrap/>
          </w:tcPr>
          <w:p w14:paraId="7A60E327" w14:textId="77777777" w:rsidR="009B6B98" w:rsidRPr="00496DF7" w:rsidRDefault="009B6B98" w:rsidP="00565083">
            <w:pPr>
              <w:rPr>
                <w:rFonts w:cstheme="minorHAnsi"/>
                <w:color w:val="000000"/>
                <w:sz w:val="16"/>
                <w:szCs w:val="18"/>
                <w:lang w:eastAsia="en-GB"/>
              </w:rPr>
            </w:pPr>
          </w:p>
        </w:tc>
      </w:tr>
      <w:tr w:rsidR="009B6B98" w:rsidRPr="00496DF7" w14:paraId="6CB8044B" w14:textId="77777777" w:rsidTr="00565083">
        <w:trPr>
          <w:trHeight w:val="315"/>
        </w:trPr>
        <w:tc>
          <w:tcPr>
            <w:tcW w:w="284" w:type="dxa"/>
            <w:shd w:val="clear" w:color="auto" w:fill="auto"/>
            <w:noWrap/>
          </w:tcPr>
          <w:p w14:paraId="370BDF6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41</w:t>
            </w:r>
          </w:p>
        </w:tc>
        <w:tc>
          <w:tcPr>
            <w:tcW w:w="2683" w:type="dxa"/>
            <w:shd w:val="clear" w:color="auto" w:fill="auto"/>
            <w:noWrap/>
          </w:tcPr>
          <w:p w14:paraId="5D874FF5" w14:textId="77777777" w:rsidR="009B6B98" w:rsidRPr="00496DF7" w:rsidRDefault="009B6B98" w:rsidP="00565083">
            <w:pPr>
              <w:rPr>
                <w:rFonts w:cstheme="minorHAnsi"/>
                <w:sz w:val="16"/>
                <w:szCs w:val="16"/>
              </w:rPr>
            </w:pPr>
            <w:r w:rsidRPr="00496DF7">
              <w:rPr>
                <w:rFonts w:cstheme="minorHAnsi"/>
                <w:sz w:val="16"/>
                <w:szCs w:val="16"/>
              </w:rPr>
              <w:t>Amélioration du système de gestion du projet d’infrastructures_ SICOMINES</w:t>
            </w:r>
          </w:p>
        </w:tc>
        <w:tc>
          <w:tcPr>
            <w:tcW w:w="1981" w:type="dxa"/>
            <w:gridSpan w:val="2"/>
            <w:shd w:val="clear" w:color="auto" w:fill="auto"/>
            <w:noWrap/>
          </w:tcPr>
          <w:p w14:paraId="2B135168"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1F26CFBC" w14:textId="77777777" w:rsidR="009B6B98" w:rsidRPr="00496DF7" w:rsidRDefault="009B6B98" w:rsidP="00565083">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2EFC27A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1A8B038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6212DFD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 (Mise en place de l’APCSC)</w:t>
            </w:r>
          </w:p>
        </w:tc>
        <w:tc>
          <w:tcPr>
            <w:tcW w:w="2292" w:type="dxa"/>
            <w:gridSpan w:val="2"/>
            <w:shd w:val="clear" w:color="auto" w:fill="auto"/>
            <w:noWrap/>
          </w:tcPr>
          <w:p w14:paraId="0921B20B" w14:textId="77777777" w:rsidR="009B6B98" w:rsidRPr="00496DF7" w:rsidRDefault="009B6B98" w:rsidP="00565083">
            <w:pPr>
              <w:rPr>
                <w:rFonts w:cstheme="minorHAnsi"/>
                <w:color w:val="000000"/>
                <w:sz w:val="16"/>
                <w:szCs w:val="18"/>
                <w:lang w:eastAsia="en-GB"/>
              </w:rPr>
            </w:pPr>
          </w:p>
        </w:tc>
      </w:tr>
      <w:tr w:rsidR="009B6B98" w:rsidRPr="00496DF7" w14:paraId="0D7C54EA" w14:textId="77777777" w:rsidTr="00565083">
        <w:trPr>
          <w:trHeight w:val="315"/>
        </w:trPr>
        <w:tc>
          <w:tcPr>
            <w:tcW w:w="284" w:type="dxa"/>
            <w:shd w:val="clear" w:color="auto" w:fill="auto"/>
            <w:noWrap/>
          </w:tcPr>
          <w:p w14:paraId="6A89A93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42</w:t>
            </w:r>
          </w:p>
        </w:tc>
        <w:tc>
          <w:tcPr>
            <w:tcW w:w="2683" w:type="dxa"/>
            <w:shd w:val="clear" w:color="auto" w:fill="auto"/>
            <w:noWrap/>
          </w:tcPr>
          <w:p w14:paraId="3E2D28C0" w14:textId="77777777" w:rsidR="009B6B98" w:rsidRPr="00496DF7" w:rsidRDefault="009B6B98" w:rsidP="00565083">
            <w:pPr>
              <w:rPr>
                <w:rFonts w:cstheme="minorHAnsi"/>
                <w:sz w:val="16"/>
                <w:szCs w:val="16"/>
              </w:rPr>
            </w:pPr>
            <w:r w:rsidRPr="00496DF7">
              <w:rPr>
                <w:rFonts w:cstheme="minorHAnsi"/>
                <w:sz w:val="16"/>
                <w:szCs w:val="16"/>
              </w:rPr>
              <w:t>Recadrage de la mission du Maître d’ouvrage délégué_ SICOMINES</w:t>
            </w:r>
          </w:p>
        </w:tc>
        <w:tc>
          <w:tcPr>
            <w:tcW w:w="1981" w:type="dxa"/>
            <w:gridSpan w:val="2"/>
            <w:shd w:val="clear" w:color="auto" w:fill="auto"/>
            <w:noWrap/>
          </w:tcPr>
          <w:p w14:paraId="6581271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26C47E6F" w14:textId="77777777" w:rsidR="009B6B98" w:rsidRPr="00496DF7" w:rsidRDefault="009B6B98" w:rsidP="00565083">
            <w:pPr>
              <w:rPr>
                <w:rFonts w:cstheme="minorHAnsi"/>
                <w:color w:val="000000"/>
                <w:sz w:val="16"/>
                <w:szCs w:val="18"/>
                <w:lang w:eastAsia="en-GB"/>
              </w:rPr>
            </w:pPr>
            <w:r w:rsidRPr="00496DF7">
              <w:rPr>
                <w:sz w:val="16"/>
                <w:szCs w:val="18"/>
              </w:rPr>
              <w:t>Moyen</w:t>
            </w:r>
          </w:p>
        </w:tc>
        <w:tc>
          <w:tcPr>
            <w:tcW w:w="1930" w:type="dxa"/>
            <w:gridSpan w:val="3"/>
            <w:shd w:val="clear" w:color="auto" w:fill="auto"/>
            <w:noWrap/>
          </w:tcPr>
          <w:p w14:paraId="5B33383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56FFC82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2DAD7E65"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Non réalisé</w:t>
            </w:r>
          </w:p>
        </w:tc>
        <w:tc>
          <w:tcPr>
            <w:tcW w:w="2292" w:type="dxa"/>
            <w:gridSpan w:val="2"/>
            <w:shd w:val="clear" w:color="auto" w:fill="auto"/>
            <w:noWrap/>
          </w:tcPr>
          <w:p w14:paraId="73D6AB73" w14:textId="77777777" w:rsidR="009B6B98" w:rsidRPr="00496DF7" w:rsidRDefault="009B6B98" w:rsidP="00565083">
            <w:pPr>
              <w:rPr>
                <w:rFonts w:cstheme="minorHAnsi"/>
                <w:color w:val="000000"/>
                <w:sz w:val="16"/>
                <w:szCs w:val="18"/>
                <w:lang w:eastAsia="en-GB"/>
              </w:rPr>
            </w:pPr>
          </w:p>
        </w:tc>
      </w:tr>
      <w:tr w:rsidR="009B6B98" w:rsidRPr="00496DF7" w14:paraId="7388B2D5" w14:textId="77777777" w:rsidTr="00565083">
        <w:trPr>
          <w:trHeight w:val="315"/>
        </w:trPr>
        <w:tc>
          <w:tcPr>
            <w:tcW w:w="284" w:type="dxa"/>
            <w:shd w:val="clear" w:color="auto" w:fill="auto"/>
            <w:noWrap/>
          </w:tcPr>
          <w:p w14:paraId="75D24B7A"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43</w:t>
            </w:r>
          </w:p>
        </w:tc>
        <w:tc>
          <w:tcPr>
            <w:tcW w:w="2683" w:type="dxa"/>
            <w:shd w:val="clear" w:color="auto" w:fill="auto"/>
            <w:noWrap/>
          </w:tcPr>
          <w:p w14:paraId="1FA6898C" w14:textId="77777777" w:rsidR="009B6B98" w:rsidRPr="00496DF7" w:rsidRDefault="009B6B98" w:rsidP="00565083">
            <w:pPr>
              <w:rPr>
                <w:rFonts w:cstheme="minorHAnsi"/>
                <w:sz w:val="16"/>
                <w:szCs w:val="16"/>
              </w:rPr>
            </w:pPr>
            <w:r w:rsidRPr="00496DF7">
              <w:rPr>
                <w:rFonts w:cstheme="minorHAnsi"/>
                <w:sz w:val="16"/>
                <w:szCs w:val="16"/>
              </w:rPr>
              <w:t>Implication des structures spécialisées de l’Etat (structures pérennes du Gouvernement) _ SICOMINES</w:t>
            </w:r>
          </w:p>
        </w:tc>
        <w:tc>
          <w:tcPr>
            <w:tcW w:w="1981" w:type="dxa"/>
            <w:gridSpan w:val="2"/>
            <w:shd w:val="clear" w:color="auto" w:fill="auto"/>
            <w:noWrap/>
          </w:tcPr>
          <w:p w14:paraId="52F78E0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7E0FCDDF" w14:textId="77777777" w:rsidR="009B6B98" w:rsidRPr="00496DF7" w:rsidRDefault="009B6B98" w:rsidP="00565083">
            <w:pPr>
              <w:rPr>
                <w:rFonts w:cstheme="minorHAnsi"/>
                <w:color w:val="000000"/>
                <w:sz w:val="16"/>
                <w:szCs w:val="18"/>
                <w:lang w:eastAsia="en-GB"/>
              </w:rPr>
            </w:pPr>
            <w:r w:rsidRPr="00496DF7">
              <w:rPr>
                <w:sz w:val="16"/>
                <w:szCs w:val="18"/>
              </w:rPr>
              <w:t>Moyen</w:t>
            </w:r>
          </w:p>
        </w:tc>
        <w:tc>
          <w:tcPr>
            <w:tcW w:w="1930" w:type="dxa"/>
            <w:gridSpan w:val="3"/>
            <w:shd w:val="clear" w:color="auto" w:fill="auto"/>
            <w:noWrap/>
          </w:tcPr>
          <w:p w14:paraId="3F59DA7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751F3489"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492F712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 (Cf. Avenant n° 5)</w:t>
            </w:r>
          </w:p>
        </w:tc>
        <w:tc>
          <w:tcPr>
            <w:tcW w:w="2292" w:type="dxa"/>
            <w:gridSpan w:val="2"/>
            <w:shd w:val="clear" w:color="auto" w:fill="auto"/>
            <w:noWrap/>
          </w:tcPr>
          <w:p w14:paraId="3C145835" w14:textId="77777777" w:rsidR="009B6B98" w:rsidRPr="00496DF7" w:rsidRDefault="009B6B98" w:rsidP="00565083">
            <w:pPr>
              <w:rPr>
                <w:rFonts w:cstheme="minorHAnsi"/>
                <w:color w:val="000000"/>
                <w:sz w:val="16"/>
                <w:szCs w:val="18"/>
                <w:lang w:eastAsia="en-GB"/>
              </w:rPr>
            </w:pPr>
          </w:p>
        </w:tc>
      </w:tr>
      <w:tr w:rsidR="009B6B98" w:rsidRPr="00496DF7" w14:paraId="441BD18F" w14:textId="77777777" w:rsidTr="00565083">
        <w:trPr>
          <w:trHeight w:val="315"/>
        </w:trPr>
        <w:tc>
          <w:tcPr>
            <w:tcW w:w="284" w:type="dxa"/>
            <w:shd w:val="clear" w:color="auto" w:fill="auto"/>
            <w:noWrap/>
          </w:tcPr>
          <w:p w14:paraId="5E417D74"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44</w:t>
            </w:r>
          </w:p>
        </w:tc>
        <w:tc>
          <w:tcPr>
            <w:tcW w:w="2683" w:type="dxa"/>
            <w:shd w:val="clear" w:color="auto" w:fill="auto"/>
            <w:noWrap/>
          </w:tcPr>
          <w:p w14:paraId="1176B086" w14:textId="77777777" w:rsidR="009B6B98" w:rsidRPr="00496DF7" w:rsidRDefault="009B6B98" w:rsidP="00565083">
            <w:pPr>
              <w:rPr>
                <w:rFonts w:cstheme="minorHAnsi"/>
                <w:sz w:val="16"/>
                <w:szCs w:val="16"/>
              </w:rPr>
            </w:pPr>
            <w:r w:rsidRPr="00496DF7">
              <w:rPr>
                <w:rFonts w:cstheme="minorHAnsi"/>
                <w:sz w:val="16"/>
                <w:szCs w:val="16"/>
              </w:rPr>
              <w:t>Suppression de la pratique des sommes à valoir</w:t>
            </w:r>
          </w:p>
        </w:tc>
        <w:tc>
          <w:tcPr>
            <w:tcW w:w="1981" w:type="dxa"/>
            <w:gridSpan w:val="2"/>
            <w:shd w:val="clear" w:color="auto" w:fill="auto"/>
            <w:noWrap/>
          </w:tcPr>
          <w:p w14:paraId="115EAEF1"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786A181B" w14:textId="77777777" w:rsidR="009B6B98" w:rsidRPr="00496DF7" w:rsidRDefault="009B6B98" w:rsidP="00565083">
            <w:pPr>
              <w:rPr>
                <w:rFonts w:cstheme="minorHAnsi"/>
                <w:color w:val="000000"/>
                <w:sz w:val="16"/>
                <w:szCs w:val="18"/>
                <w:lang w:eastAsia="en-GB"/>
              </w:rPr>
            </w:pPr>
            <w:r w:rsidRPr="00496DF7">
              <w:rPr>
                <w:sz w:val="16"/>
                <w:szCs w:val="18"/>
              </w:rPr>
              <w:t>Moyen</w:t>
            </w:r>
          </w:p>
        </w:tc>
        <w:tc>
          <w:tcPr>
            <w:tcW w:w="1930" w:type="dxa"/>
            <w:gridSpan w:val="3"/>
            <w:shd w:val="clear" w:color="auto" w:fill="auto"/>
            <w:noWrap/>
          </w:tcPr>
          <w:p w14:paraId="192BCBBB"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40338B9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147F04B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Réalisé (Cf. Avenant n° 5)</w:t>
            </w:r>
          </w:p>
        </w:tc>
        <w:tc>
          <w:tcPr>
            <w:tcW w:w="2292" w:type="dxa"/>
            <w:gridSpan w:val="2"/>
            <w:shd w:val="clear" w:color="auto" w:fill="auto"/>
            <w:noWrap/>
          </w:tcPr>
          <w:p w14:paraId="67E48053" w14:textId="77777777" w:rsidR="009B6B98" w:rsidRPr="00496DF7" w:rsidRDefault="009B6B98" w:rsidP="00565083">
            <w:pPr>
              <w:rPr>
                <w:rFonts w:cstheme="minorHAnsi"/>
                <w:color w:val="000000"/>
                <w:sz w:val="16"/>
                <w:szCs w:val="18"/>
                <w:lang w:eastAsia="en-GB"/>
              </w:rPr>
            </w:pPr>
          </w:p>
        </w:tc>
      </w:tr>
      <w:tr w:rsidR="009B6B98" w:rsidRPr="00496DF7" w14:paraId="3DEA8D0F" w14:textId="77777777" w:rsidTr="00565083">
        <w:trPr>
          <w:trHeight w:val="315"/>
        </w:trPr>
        <w:tc>
          <w:tcPr>
            <w:tcW w:w="284" w:type="dxa"/>
            <w:shd w:val="clear" w:color="auto" w:fill="auto"/>
            <w:noWrap/>
          </w:tcPr>
          <w:p w14:paraId="7A4339E1"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45</w:t>
            </w:r>
          </w:p>
        </w:tc>
        <w:tc>
          <w:tcPr>
            <w:tcW w:w="2683" w:type="dxa"/>
            <w:shd w:val="clear" w:color="auto" w:fill="auto"/>
            <w:noWrap/>
          </w:tcPr>
          <w:p w14:paraId="00107244" w14:textId="77777777" w:rsidR="009B6B98" w:rsidRPr="00496DF7" w:rsidRDefault="009B6B98" w:rsidP="00565083">
            <w:pPr>
              <w:spacing w:after="200"/>
              <w:rPr>
                <w:rFonts w:cstheme="minorHAnsi"/>
                <w:sz w:val="16"/>
                <w:szCs w:val="16"/>
              </w:rPr>
            </w:pPr>
            <w:r w:rsidRPr="00496DF7">
              <w:rPr>
                <w:rFonts w:cstheme="minorHAnsi"/>
                <w:sz w:val="16"/>
                <w:szCs w:val="16"/>
              </w:rPr>
              <w:t xml:space="preserve">Renforcer la supervision du Groupe multipartite en finalisant et adoptant le texte révisé de gouvernance, en assurant la consultation des collèges, l’équilibre femmes-hommes, la prévention des conflits d’intérêts et la </w:t>
            </w:r>
            <w:r w:rsidRPr="00496DF7">
              <w:rPr>
                <w:rFonts w:cstheme="minorHAnsi"/>
                <w:sz w:val="16"/>
                <w:szCs w:val="16"/>
              </w:rPr>
              <w:lastRenderedPageBreak/>
              <w:t>publication régulière des indemnités journalières.</w:t>
            </w:r>
          </w:p>
        </w:tc>
        <w:tc>
          <w:tcPr>
            <w:tcW w:w="1981" w:type="dxa"/>
            <w:gridSpan w:val="2"/>
            <w:shd w:val="clear" w:color="auto" w:fill="auto"/>
            <w:noWrap/>
          </w:tcPr>
          <w:p w14:paraId="11FC4232" w14:textId="77777777" w:rsidR="009B6B98" w:rsidRPr="00496DF7" w:rsidRDefault="009B6B98" w:rsidP="00565083">
            <w:pPr>
              <w:rPr>
                <w:rFonts w:cstheme="minorHAnsi"/>
                <w:color w:val="000000"/>
                <w:sz w:val="16"/>
                <w:szCs w:val="16"/>
                <w:lang w:eastAsia="en-GB"/>
              </w:rPr>
            </w:pPr>
            <w:r w:rsidRPr="00496DF7">
              <w:rPr>
                <w:rFonts w:cstheme="minorHAnsi"/>
                <w:sz w:val="16"/>
                <w:szCs w:val="16"/>
              </w:rPr>
              <w:lastRenderedPageBreak/>
              <w:t xml:space="preserve">Validation RDC 2022, mesures correctives, </w:t>
            </w:r>
          </w:p>
        </w:tc>
        <w:tc>
          <w:tcPr>
            <w:tcW w:w="946" w:type="dxa"/>
            <w:shd w:val="clear" w:color="auto" w:fill="auto"/>
            <w:noWrap/>
          </w:tcPr>
          <w:p w14:paraId="1584211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08F5C42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Comité Exécutif / Ministère du Plan / </w:t>
            </w:r>
          </w:p>
        </w:tc>
        <w:tc>
          <w:tcPr>
            <w:tcW w:w="1850" w:type="dxa"/>
            <w:gridSpan w:val="2"/>
            <w:shd w:val="clear" w:color="auto" w:fill="auto"/>
            <w:noWrap/>
          </w:tcPr>
          <w:p w14:paraId="5772727C"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PTT 2024-2026 – gouvernance et supervision du processus – activités de gouvernance</w:t>
            </w:r>
          </w:p>
        </w:tc>
        <w:tc>
          <w:tcPr>
            <w:tcW w:w="2883" w:type="dxa"/>
            <w:gridSpan w:val="2"/>
          </w:tcPr>
          <w:p w14:paraId="5C9EEBC9"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En cours</w:t>
            </w:r>
          </w:p>
        </w:tc>
        <w:tc>
          <w:tcPr>
            <w:tcW w:w="2292" w:type="dxa"/>
            <w:gridSpan w:val="2"/>
            <w:shd w:val="clear" w:color="auto" w:fill="auto"/>
            <w:noWrap/>
          </w:tcPr>
          <w:p w14:paraId="57C8657F" w14:textId="77777777" w:rsidR="009B6B98" w:rsidRPr="00496DF7" w:rsidRDefault="009B6B98" w:rsidP="00565083">
            <w:pPr>
              <w:rPr>
                <w:rFonts w:cstheme="minorHAnsi"/>
                <w:color w:val="000000"/>
                <w:sz w:val="16"/>
                <w:szCs w:val="16"/>
                <w:lang w:eastAsia="en-GB"/>
              </w:rPr>
            </w:pPr>
            <w:r w:rsidRPr="00496DF7">
              <w:rPr>
                <w:sz w:val="16"/>
                <w:szCs w:val="16"/>
              </w:rPr>
              <w:t>Exigence 1.4 – La décision 2022 exige un suivi rapproché du nouveau décret, des conflits d’intérêts et des indemnités.</w:t>
            </w:r>
          </w:p>
        </w:tc>
      </w:tr>
      <w:tr w:rsidR="009B6B98" w:rsidRPr="00496DF7" w14:paraId="32E342F9" w14:textId="77777777" w:rsidTr="00565083">
        <w:trPr>
          <w:trHeight w:val="315"/>
        </w:trPr>
        <w:tc>
          <w:tcPr>
            <w:tcW w:w="284" w:type="dxa"/>
            <w:shd w:val="clear" w:color="auto" w:fill="auto"/>
            <w:noWrap/>
          </w:tcPr>
          <w:p w14:paraId="6A323CB5" w14:textId="77777777" w:rsidR="009B6B98" w:rsidRPr="00496DF7" w:rsidRDefault="009B6B98" w:rsidP="00565083">
            <w:pPr>
              <w:rPr>
                <w:rFonts w:cstheme="minorHAnsi"/>
                <w:sz w:val="16"/>
                <w:szCs w:val="16"/>
              </w:rPr>
            </w:pPr>
            <w:r w:rsidRPr="00496DF7">
              <w:rPr>
                <w:rFonts w:cstheme="minorHAnsi"/>
                <w:sz w:val="16"/>
                <w:szCs w:val="16"/>
              </w:rPr>
              <w:t>46</w:t>
            </w:r>
          </w:p>
        </w:tc>
        <w:tc>
          <w:tcPr>
            <w:tcW w:w="2683" w:type="dxa"/>
            <w:shd w:val="clear" w:color="auto" w:fill="auto"/>
            <w:noWrap/>
          </w:tcPr>
          <w:p w14:paraId="244FD7CD" w14:textId="77777777" w:rsidR="009B6B98" w:rsidRPr="00496DF7" w:rsidRDefault="009B6B98" w:rsidP="00565083">
            <w:pPr>
              <w:spacing w:after="200"/>
              <w:rPr>
                <w:rFonts w:cstheme="minorHAnsi"/>
                <w:sz w:val="16"/>
                <w:szCs w:val="16"/>
              </w:rPr>
            </w:pPr>
            <w:r w:rsidRPr="00496DF7">
              <w:rPr>
                <w:rFonts w:cstheme="minorHAnsi"/>
                <w:sz w:val="16"/>
                <w:szCs w:val="16"/>
              </w:rPr>
              <w:t>Intégrer dans les évaluations des écarts d’octroi de licences les transferts, amodiations et appels d’offres réalisés par les entreprises d’État et expliquer les procédures appliquées.</w:t>
            </w:r>
          </w:p>
        </w:tc>
        <w:tc>
          <w:tcPr>
            <w:tcW w:w="1981" w:type="dxa"/>
            <w:gridSpan w:val="2"/>
            <w:shd w:val="clear" w:color="auto" w:fill="auto"/>
            <w:noWrap/>
          </w:tcPr>
          <w:p w14:paraId="2616AA77" w14:textId="77777777" w:rsidR="009B6B98" w:rsidRPr="00496DF7" w:rsidRDefault="009B6B98" w:rsidP="00565083">
            <w:pPr>
              <w:rPr>
                <w:rFonts w:cstheme="minorHAnsi"/>
                <w:sz w:val="16"/>
                <w:szCs w:val="16"/>
              </w:rPr>
            </w:pPr>
            <w:r w:rsidRPr="00496DF7">
              <w:rPr>
                <w:rFonts w:cstheme="minorHAnsi"/>
                <w:sz w:val="16"/>
                <w:szCs w:val="16"/>
              </w:rPr>
              <w:t>Validation RDC 2022, mesure corrective</w:t>
            </w:r>
          </w:p>
        </w:tc>
        <w:tc>
          <w:tcPr>
            <w:tcW w:w="946" w:type="dxa"/>
            <w:shd w:val="clear" w:color="auto" w:fill="auto"/>
            <w:noWrap/>
          </w:tcPr>
          <w:p w14:paraId="4E966CA6"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7BD2F8D6" w14:textId="77777777" w:rsidR="009B6B98" w:rsidRPr="00496DF7" w:rsidRDefault="009B6B98" w:rsidP="00565083">
            <w:pPr>
              <w:rPr>
                <w:rFonts w:cstheme="minorHAnsi"/>
                <w:sz w:val="16"/>
                <w:szCs w:val="16"/>
              </w:rPr>
            </w:pPr>
            <w:r w:rsidRPr="00496DF7">
              <w:rPr>
                <w:rFonts w:cstheme="minorHAnsi"/>
                <w:sz w:val="16"/>
                <w:szCs w:val="16"/>
              </w:rPr>
              <w:t>Ministère des Mines / CTCPM / CAMI / Entreprises publiques / CE ITIE-RDC</w:t>
            </w:r>
          </w:p>
        </w:tc>
        <w:tc>
          <w:tcPr>
            <w:tcW w:w="1850" w:type="dxa"/>
            <w:gridSpan w:val="2"/>
            <w:shd w:val="clear" w:color="auto" w:fill="auto"/>
            <w:noWrap/>
          </w:tcPr>
          <w:p w14:paraId="67A13675" w14:textId="77777777" w:rsidR="009B6B98" w:rsidRPr="00496DF7" w:rsidRDefault="009B6B98" w:rsidP="00565083">
            <w:pPr>
              <w:rPr>
                <w:rFonts w:cstheme="minorHAnsi"/>
                <w:sz w:val="16"/>
                <w:szCs w:val="16"/>
              </w:rPr>
            </w:pPr>
            <w:r w:rsidRPr="00496DF7">
              <w:rPr>
                <w:rFonts w:cstheme="minorHAnsi"/>
                <w:sz w:val="16"/>
                <w:szCs w:val="16"/>
              </w:rPr>
              <w:t>PTT 2024-2026 – transparence des licences et contrats</w:t>
            </w:r>
            <w:proofErr w:type="gramStart"/>
            <w:r w:rsidRPr="00496DF7">
              <w:rPr>
                <w:rFonts w:cstheme="minorHAnsi"/>
                <w:sz w:val="16"/>
                <w:szCs w:val="16"/>
              </w:rPr>
              <w:t xml:space="preserve"> ;–</w:t>
            </w:r>
            <w:proofErr w:type="gramEnd"/>
            <w:r w:rsidRPr="00496DF7">
              <w:rPr>
                <w:rFonts w:cstheme="minorHAnsi"/>
                <w:sz w:val="16"/>
                <w:szCs w:val="16"/>
              </w:rPr>
              <w:t xml:space="preserve"> suivi des recommandations de validation</w:t>
            </w:r>
          </w:p>
        </w:tc>
        <w:tc>
          <w:tcPr>
            <w:tcW w:w="2883" w:type="dxa"/>
            <w:gridSpan w:val="2"/>
          </w:tcPr>
          <w:p w14:paraId="2EB30524"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24D8F95E" w14:textId="77777777" w:rsidR="009B6B98" w:rsidRPr="00496DF7" w:rsidRDefault="009B6B98" w:rsidP="00565083">
            <w:pPr>
              <w:rPr>
                <w:sz w:val="16"/>
                <w:szCs w:val="16"/>
              </w:rPr>
            </w:pPr>
            <w:r w:rsidRPr="00496DF7">
              <w:rPr>
                <w:sz w:val="16"/>
                <w:szCs w:val="16"/>
              </w:rPr>
              <w:t>Exigence 2.2.</w:t>
            </w:r>
          </w:p>
        </w:tc>
      </w:tr>
      <w:tr w:rsidR="009B6B98" w:rsidRPr="00496DF7" w14:paraId="4B35A644" w14:textId="77777777" w:rsidTr="00565083">
        <w:trPr>
          <w:trHeight w:val="315"/>
        </w:trPr>
        <w:tc>
          <w:tcPr>
            <w:tcW w:w="284" w:type="dxa"/>
            <w:shd w:val="clear" w:color="auto" w:fill="auto"/>
            <w:noWrap/>
          </w:tcPr>
          <w:p w14:paraId="538D0A4C" w14:textId="77777777" w:rsidR="009B6B98" w:rsidRPr="00496DF7" w:rsidRDefault="009B6B98" w:rsidP="00565083">
            <w:pPr>
              <w:rPr>
                <w:rFonts w:cstheme="minorHAnsi"/>
                <w:sz w:val="16"/>
                <w:szCs w:val="16"/>
              </w:rPr>
            </w:pPr>
            <w:r w:rsidRPr="00496DF7">
              <w:rPr>
                <w:rFonts w:cstheme="minorHAnsi"/>
                <w:sz w:val="16"/>
                <w:szCs w:val="16"/>
              </w:rPr>
              <w:t>47</w:t>
            </w:r>
          </w:p>
        </w:tc>
        <w:tc>
          <w:tcPr>
            <w:tcW w:w="2683" w:type="dxa"/>
            <w:shd w:val="clear" w:color="auto" w:fill="auto"/>
            <w:noWrap/>
          </w:tcPr>
          <w:p w14:paraId="64D0D628" w14:textId="77777777" w:rsidR="009B6B98" w:rsidRPr="00496DF7" w:rsidRDefault="009B6B98" w:rsidP="00565083">
            <w:pPr>
              <w:spacing w:after="200"/>
              <w:rPr>
                <w:rFonts w:cstheme="minorHAnsi"/>
                <w:sz w:val="16"/>
                <w:szCs w:val="16"/>
              </w:rPr>
            </w:pPr>
            <w:r w:rsidRPr="00496DF7">
              <w:rPr>
                <w:rFonts w:cstheme="minorHAnsi"/>
                <w:sz w:val="16"/>
                <w:szCs w:val="16"/>
              </w:rPr>
              <w:t>Achever la mise en place et rendre pleinement opérationnel le registre public des bénéficiaires effectifs, élargir la déclaration à tous les détenteurs/demandeurs de titres et publier les données en format ouvert.</w:t>
            </w:r>
          </w:p>
        </w:tc>
        <w:tc>
          <w:tcPr>
            <w:tcW w:w="1981" w:type="dxa"/>
            <w:gridSpan w:val="2"/>
            <w:shd w:val="clear" w:color="auto" w:fill="auto"/>
            <w:noWrap/>
          </w:tcPr>
          <w:p w14:paraId="3AB4A07C" w14:textId="77777777" w:rsidR="009B6B98" w:rsidRPr="00496DF7" w:rsidRDefault="009B6B98" w:rsidP="00565083">
            <w:pPr>
              <w:rPr>
                <w:rFonts w:cstheme="minorHAnsi"/>
                <w:sz w:val="16"/>
                <w:szCs w:val="16"/>
              </w:rPr>
            </w:pPr>
            <w:r w:rsidRPr="00496DF7">
              <w:rPr>
                <w:rFonts w:cstheme="minorHAnsi"/>
                <w:sz w:val="16"/>
                <w:szCs w:val="16"/>
              </w:rPr>
              <w:t xml:space="preserve">Validation RDC 2022, mesure corrective ; Rapport ITIE-RDC 2022, </w:t>
            </w:r>
          </w:p>
        </w:tc>
        <w:tc>
          <w:tcPr>
            <w:tcW w:w="946" w:type="dxa"/>
            <w:shd w:val="clear" w:color="auto" w:fill="auto"/>
            <w:noWrap/>
          </w:tcPr>
          <w:p w14:paraId="3E7D9ABA"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73A597B3" w14:textId="77777777" w:rsidR="009B6B98" w:rsidRPr="00496DF7" w:rsidRDefault="009B6B98" w:rsidP="00565083">
            <w:pPr>
              <w:rPr>
                <w:rFonts w:cstheme="minorHAnsi"/>
                <w:sz w:val="16"/>
                <w:szCs w:val="16"/>
              </w:rPr>
            </w:pPr>
            <w:r w:rsidRPr="00496DF7">
              <w:rPr>
                <w:rFonts w:cstheme="minorHAnsi"/>
                <w:sz w:val="16"/>
                <w:szCs w:val="16"/>
              </w:rPr>
              <w:t>Ministère de la Justice / GUCE / CENAREF / CE ITIE-RDC / CTCPM / entreprises extractives</w:t>
            </w:r>
          </w:p>
        </w:tc>
        <w:tc>
          <w:tcPr>
            <w:tcW w:w="1850" w:type="dxa"/>
            <w:gridSpan w:val="2"/>
            <w:shd w:val="clear" w:color="auto" w:fill="auto"/>
            <w:noWrap/>
          </w:tcPr>
          <w:p w14:paraId="32B9AED5" w14:textId="77777777" w:rsidR="009B6B98" w:rsidRPr="00496DF7" w:rsidRDefault="009B6B98" w:rsidP="00565083">
            <w:pPr>
              <w:rPr>
                <w:rFonts w:cstheme="minorHAnsi"/>
                <w:sz w:val="16"/>
                <w:szCs w:val="16"/>
              </w:rPr>
            </w:pPr>
            <w:r w:rsidRPr="00496DF7">
              <w:rPr>
                <w:rFonts w:cstheme="minorHAnsi"/>
                <w:sz w:val="16"/>
                <w:szCs w:val="16"/>
              </w:rPr>
              <w:t>PTT 2024-2026 – propriété effective ; divulgation des bénéficiaires effectifs</w:t>
            </w:r>
          </w:p>
        </w:tc>
        <w:tc>
          <w:tcPr>
            <w:tcW w:w="2883" w:type="dxa"/>
            <w:gridSpan w:val="2"/>
          </w:tcPr>
          <w:p w14:paraId="1874DE26"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567B1731" w14:textId="77777777" w:rsidR="009B6B98" w:rsidRPr="00496DF7" w:rsidRDefault="009B6B98" w:rsidP="00565083">
            <w:pPr>
              <w:rPr>
                <w:sz w:val="16"/>
                <w:szCs w:val="16"/>
              </w:rPr>
            </w:pPr>
            <w:r w:rsidRPr="00496DF7">
              <w:rPr>
                <w:sz w:val="16"/>
                <w:szCs w:val="16"/>
              </w:rPr>
              <w:t>Exigence 2.5.</w:t>
            </w:r>
          </w:p>
        </w:tc>
      </w:tr>
      <w:tr w:rsidR="009B6B98" w:rsidRPr="00496DF7" w14:paraId="26128E34" w14:textId="77777777" w:rsidTr="00565083">
        <w:trPr>
          <w:trHeight w:val="315"/>
        </w:trPr>
        <w:tc>
          <w:tcPr>
            <w:tcW w:w="284" w:type="dxa"/>
            <w:shd w:val="clear" w:color="auto" w:fill="auto"/>
            <w:noWrap/>
          </w:tcPr>
          <w:p w14:paraId="64385505" w14:textId="77777777" w:rsidR="009B6B98" w:rsidRPr="00496DF7" w:rsidRDefault="009B6B98" w:rsidP="00565083">
            <w:pPr>
              <w:rPr>
                <w:rFonts w:cstheme="minorHAnsi"/>
                <w:sz w:val="16"/>
                <w:szCs w:val="16"/>
              </w:rPr>
            </w:pPr>
            <w:r w:rsidRPr="00496DF7">
              <w:rPr>
                <w:rFonts w:cstheme="minorHAnsi"/>
                <w:sz w:val="16"/>
                <w:szCs w:val="16"/>
              </w:rPr>
              <w:t>48</w:t>
            </w:r>
          </w:p>
        </w:tc>
        <w:tc>
          <w:tcPr>
            <w:tcW w:w="2683" w:type="dxa"/>
            <w:shd w:val="clear" w:color="auto" w:fill="auto"/>
            <w:noWrap/>
          </w:tcPr>
          <w:p w14:paraId="6022843F" w14:textId="77777777" w:rsidR="009B6B98" w:rsidRPr="00496DF7" w:rsidRDefault="009B6B98" w:rsidP="00565083">
            <w:pPr>
              <w:spacing w:after="200"/>
              <w:rPr>
                <w:rFonts w:cstheme="minorHAnsi"/>
                <w:sz w:val="16"/>
                <w:szCs w:val="16"/>
              </w:rPr>
            </w:pPr>
            <w:r w:rsidRPr="00496DF7">
              <w:rPr>
                <w:rFonts w:cstheme="minorHAnsi"/>
                <w:sz w:val="16"/>
                <w:szCs w:val="16"/>
              </w:rPr>
              <w:t>Divulguer de manière complète les prêts et garanties de prêts accordés par l’État ou les entreprises d’État aux entreprises extractives, avec montant, durée, conditions et taux d’intérêt.</w:t>
            </w:r>
          </w:p>
        </w:tc>
        <w:tc>
          <w:tcPr>
            <w:tcW w:w="1981" w:type="dxa"/>
            <w:gridSpan w:val="2"/>
            <w:shd w:val="clear" w:color="auto" w:fill="auto"/>
            <w:noWrap/>
          </w:tcPr>
          <w:p w14:paraId="27384027" w14:textId="77777777" w:rsidR="009B6B98" w:rsidRPr="00496DF7" w:rsidRDefault="009B6B98" w:rsidP="00565083">
            <w:pPr>
              <w:rPr>
                <w:rFonts w:cstheme="minorHAnsi"/>
                <w:sz w:val="16"/>
                <w:szCs w:val="16"/>
              </w:rPr>
            </w:pPr>
            <w:r w:rsidRPr="00496DF7">
              <w:rPr>
                <w:rFonts w:cstheme="minorHAnsi"/>
                <w:sz w:val="16"/>
                <w:szCs w:val="16"/>
              </w:rPr>
              <w:t>Validation RDC 2022, mesure corrective ; Rapport ITIE-RDC 2022, Exigence 2.6</w:t>
            </w:r>
          </w:p>
        </w:tc>
        <w:tc>
          <w:tcPr>
            <w:tcW w:w="946" w:type="dxa"/>
            <w:shd w:val="clear" w:color="auto" w:fill="auto"/>
            <w:noWrap/>
          </w:tcPr>
          <w:p w14:paraId="3401D4C9"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454CFAD6" w14:textId="77777777" w:rsidR="009B6B98" w:rsidRPr="00496DF7" w:rsidRDefault="009B6B98" w:rsidP="00565083">
            <w:pPr>
              <w:rPr>
                <w:rFonts w:cstheme="minorHAnsi"/>
                <w:sz w:val="16"/>
                <w:szCs w:val="16"/>
              </w:rPr>
            </w:pPr>
            <w:r w:rsidRPr="00496DF7">
              <w:rPr>
                <w:rFonts w:cstheme="minorHAnsi"/>
                <w:sz w:val="16"/>
                <w:szCs w:val="16"/>
              </w:rPr>
              <w:t>Ministère des Finances / DGDP / Ministère du Portefeuille / Entreprises d’État / CE ITIE-RDC</w:t>
            </w:r>
          </w:p>
        </w:tc>
        <w:tc>
          <w:tcPr>
            <w:tcW w:w="1850" w:type="dxa"/>
            <w:gridSpan w:val="2"/>
            <w:shd w:val="clear" w:color="auto" w:fill="auto"/>
            <w:noWrap/>
          </w:tcPr>
          <w:p w14:paraId="353FB916" w14:textId="77777777" w:rsidR="009B6B98" w:rsidRPr="00496DF7" w:rsidRDefault="009B6B98" w:rsidP="00565083">
            <w:pPr>
              <w:rPr>
                <w:rFonts w:cstheme="minorHAnsi"/>
                <w:sz w:val="16"/>
                <w:szCs w:val="16"/>
              </w:rPr>
            </w:pPr>
            <w:r w:rsidRPr="00496DF7">
              <w:rPr>
                <w:rFonts w:cstheme="minorHAnsi"/>
                <w:sz w:val="16"/>
                <w:szCs w:val="16"/>
              </w:rPr>
              <w:t xml:space="preserve">PTT 2024-2026 – entreprises d’État et divulgations financières ; </w:t>
            </w:r>
          </w:p>
        </w:tc>
        <w:tc>
          <w:tcPr>
            <w:tcW w:w="2883" w:type="dxa"/>
            <w:gridSpan w:val="2"/>
          </w:tcPr>
          <w:p w14:paraId="68AC568F" w14:textId="77777777" w:rsidR="009B6B98" w:rsidRPr="00496DF7" w:rsidRDefault="009B6B98" w:rsidP="00565083">
            <w:pPr>
              <w:rPr>
                <w:rFonts w:cstheme="minorHAnsi"/>
                <w:sz w:val="16"/>
                <w:szCs w:val="16"/>
              </w:rPr>
            </w:pPr>
            <w:proofErr w:type="spellStart"/>
            <w:r w:rsidRPr="00496DF7">
              <w:rPr>
                <w:rFonts w:cstheme="minorHAnsi"/>
                <w:sz w:val="16"/>
                <w:szCs w:val="16"/>
              </w:rPr>
              <w:t>Realisé</w:t>
            </w:r>
            <w:proofErr w:type="spellEnd"/>
          </w:p>
          <w:p w14:paraId="3681966C" w14:textId="77777777" w:rsidR="009B6B98" w:rsidRPr="00496DF7" w:rsidRDefault="009B6B98" w:rsidP="00565083">
            <w:pPr>
              <w:rPr>
                <w:rFonts w:cstheme="minorHAnsi"/>
                <w:sz w:val="16"/>
                <w:szCs w:val="16"/>
              </w:rPr>
            </w:pPr>
            <w:r w:rsidRPr="00496DF7">
              <w:rPr>
                <w:rFonts w:cstheme="minorHAnsi"/>
                <w:sz w:val="16"/>
                <w:szCs w:val="16"/>
              </w:rPr>
              <w:t>Voir rapports 2022 et 2023</w:t>
            </w:r>
          </w:p>
        </w:tc>
        <w:tc>
          <w:tcPr>
            <w:tcW w:w="2292" w:type="dxa"/>
            <w:gridSpan w:val="2"/>
            <w:shd w:val="clear" w:color="auto" w:fill="auto"/>
            <w:noWrap/>
          </w:tcPr>
          <w:p w14:paraId="24748B59" w14:textId="77777777" w:rsidR="009B6B98" w:rsidRPr="00496DF7" w:rsidRDefault="009B6B98" w:rsidP="00565083">
            <w:pPr>
              <w:rPr>
                <w:sz w:val="16"/>
                <w:szCs w:val="16"/>
              </w:rPr>
            </w:pPr>
            <w:r w:rsidRPr="00496DF7">
              <w:rPr>
                <w:sz w:val="16"/>
                <w:szCs w:val="16"/>
              </w:rPr>
              <w:t>Exigence 2.6.</w:t>
            </w:r>
          </w:p>
        </w:tc>
      </w:tr>
      <w:tr w:rsidR="009B6B98" w:rsidRPr="00496DF7" w14:paraId="7949B38C" w14:textId="77777777" w:rsidTr="00565083">
        <w:trPr>
          <w:trHeight w:val="315"/>
        </w:trPr>
        <w:tc>
          <w:tcPr>
            <w:tcW w:w="284" w:type="dxa"/>
            <w:shd w:val="clear" w:color="auto" w:fill="auto"/>
            <w:noWrap/>
          </w:tcPr>
          <w:p w14:paraId="30E6359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49</w:t>
            </w:r>
          </w:p>
        </w:tc>
        <w:tc>
          <w:tcPr>
            <w:tcW w:w="2683" w:type="dxa"/>
            <w:shd w:val="clear" w:color="auto" w:fill="auto"/>
            <w:noWrap/>
          </w:tcPr>
          <w:p w14:paraId="0AA19288" w14:textId="77777777" w:rsidR="009B6B98" w:rsidRPr="00496DF7" w:rsidRDefault="009B6B98" w:rsidP="00565083">
            <w:pPr>
              <w:spacing w:after="200"/>
              <w:rPr>
                <w:rFonts w:cstheme="minorHAnsi"/>
                <w:sz w:val="16"/>
                <w:szCs w:val="16"/>
              </w:rPr>
            </w:pPr>
            <w:r w:rsidRPr="00496DF7">
              <w:rPr>
                <w:rFonts w:cstheme="minorHAnsi"/>
                <w:sz w:val="16"/>
                <w:szCs w:val="16"/>
              </w:rPr>
              <w:t>Mettre en place un processus systématique de déclaration des dépenses quasi-budgétaires des entreprises d’État, y compris les avances fiscales et les filiales/partenariats concernés.</w:t>
            </w:r>
          </w:p>
        </w:tc>
        <w:tc>
          <w:tcPr>
            <w:tcW w:w="1981" w:type="dxa"/>
            <w:gridSpan w:val="2"/>
            <w:shd w:val="clear" w:color="auto" w:fill="auto"/>
            <w:noWrap/>
          </w:tcPr>
          <w:p w14:paraId="737F2E3D"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Validation RDC 2022, mesure corrective </w:t>
            </w:r>
          </w:p>
        </w:tc>
        <w:tc>
          <w:tcPr>
            <w:tcW w:w="946" w:type="dxa"/>
            <w:shd w:val="clear" w:color="auto" w:fill="auto"/>
            <w:noWrap/>
          </w:tcPr>
          <w:p w14:paraId="711DDB42"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217171FB"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Finances / Ministère du Portefeuille / Entreprises publiques / CE ITIE-RDC</w:t>
            </w:r>
          </w:p>
        </w:tc>
        <w:tc>
          <w:tcPr>
            <w:tcW w:w="1850" w:type="dxa"/>
            <w:gridSpan w:val="2"/>
            <w:shd w:val="clear" w:color="auto" w:fill="auto"/>
            <w:noWrap/>
          </w:tcPr>
          <w:p w14:paraId="182E7F88"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entreprises d’État et transparence financière ; </w:t>
            </w:r>
          </w:p>
        </w:tc>
        <w:tc>
          <w:tcPr>
            <w:tcW w:w="2883" w:type="dxa"/>
            <w:gridSpan w:val="2"/>
          </w:tcPr>
          <w:p w14:paraId="4ADF339C"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Réalisé : </w:t>
            </w:r>
            <w:proofErr w:type="spellStart"/>
            <w:proofErr w:type="gramStart"/>
            <w:r w:rsidRPr="00496DF7">
              <w:rPr>
                <w:rFonts w:cstheme="minorHAnsi"/>
                <w:sz w:val="16"/>
                <w:szCs w:val="16"/>
              </w:rPr>
              <w:t>cf</w:t>
            </w:r>
            <w:proofErr w:type="spellEnd"/>
            <w:r w:rsidRPr="00496DF7">
              <w:rPr>
                <w:rFonts w:cstheme="minorHAnsi"/>
                <w:sz w:val="16"/>
                <w:szCs w:val="16"/>
              </w:rPr>
              <w:t xml:space="preserve"> .</w:t>
            </w:r>
            <w:proofErr w:type="gramEnd"/>
            <w:r w:rsidRPr="00496DF7">
              <w:rPr>
                <w:rFonts w:cstheme="minorHAnsi"/>
                <w:sz w:val="16"/>
                <w:szCs w:val="16"/>
              </w:rPr>
              <w:t xml:space="preserve"> Formulaires </w:t>
            </w:r>
            <w:proofErr w:type="spellStart"/>
            <w:r w:rsidRPr="00496DF7">
              <w:rPr>
                <w:rFonts w:cstheme="minorHAnsi"/>
                <w:sz w:val="16"/>
                <w:szCs w:val="16"/>
              </w:rPr>
              <w:t>dedié</w:t>
            </w:r>
            <w:proofErr w:type="spellEnd"/>
          </w:p>
        </w:tc>
        <w:tc>
          <w:tcPr>
            <w:tcW w:w="2292" w:type="dxa"/>
            <w:gridSpan w:val="2"/>
            <w:shd w:val="clear" w:color="auto" w:fill="auto"/>
            <w:noWrap/>
          </w:tcPr>
          <w:p w14:paraId="6FCBD224" w14:textId="77777777" w:rsidR="009B6B98" w:rsidRPr="00496DF7" w:rsidRDefault="009B6B98" w:rsidP="00565083">
            <w:pPr>
              <w:rPr>
                <w:rFonts w:cstheme="minorHAnsi"/>
                <w:color w:val="000000"/>
                <w:sz w:val="16"/>
                <w:szCs w:val="16"/>
                <w:lang w:eastAsia="en-GB"/>
              </w:rPr>
            </w:pPr>
            <w:r w:rsidRPr="00496DF7">
              <w:rPr>
                <w:sz w:val="16"/>
                <w:szCs w:val="16"/>
              </w:rPr>
              <w:t>Exigence 6.2.</w:t>
            </w:r>
          </w:p>
        </w:tc>
      </w:tr>
      <w:tr w:rsidR="009B6B98" w:rsidRPr="00496DF7" w14:paraId="5A5326F4" w14:textId="77777777" w:rsidTr="00565083">
        <w:trPr>
          <w:trHeight w:val="315"/>
        </w:trPr>
        <w:tc>
          <w:tcPr>
            <w:tcW w:w="284" w:type="dxa"/>
            <w:shd w:val="clear" w:color="auto" w:fill="auto"/>
            <w:noWrap/>
          </w:tcPr>
          <w:p w14:paraId="1B7A0776"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50</w:t>
            </w:r>
          </w:p>
        </w:tc>
        <w:tc>
          <w:tcPr>
            <w:tcW w:w="2683" w:type="dxa"/>
            <w:shd w:val="clear" w:color="auto" w:fill="auto"/>
            <w:noWrap/>
          </w:tcPr>
          <w:p w14:paraId="337CE840" w14:textId="77777777" w:rsidR="009B6B98" w:rsidRPr="00496DF7" w:rsidRDefault="009B6B98" w:rsidP="00565083">
            <w:pPr>
              <w:spacing w:after="200"/>
              <w:rPr>
                <w:rFonts w:cstheme="minorHAnsi"/>
                <w:sz w:val="16"/>
                <w:szCs w:val="16"/>
              </w:rPr>
            </w:pPr>
            <w:r w:rsidRPr="00496DF7">
              <w:rPr>
                <w:rFonts w:cstheme="minorHAnsi"/>
                <w:sz w:val="16"/>
                <w:szCs w:val="16"/>
              </w:rPr>
              <w:t>Définir une approche de déclaration par projet et assurer la ventilation des paiements et revenus extractifs par projet, avec identification publique des accords liés.</w:t>
            </w:r>
          </w:p>
        </w:tc>
        <w:tc>
          <w:tcPr>
            <w:tcW w:w="1981" w:type="dxa"/>
            <w:gridSpan w:val="2"/>
            <w:shd w:val="clear" w:color="auto" w:fill="auto"/>
            <w:noWrap/>
          </w:tcPr>
          <w:p w14:paraId="59E6A36F"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Validation RDC 2022, mesure corrective </w:t>
            </w:r>
          </w:p>
        </w:tc>
        <w:tc>
          <w:tcPr>
            <w:tcW w:w="946" w:type="dxa"/>
            <w:shd w:val="clear" w:color="auto" w:fill="auto"/>
            <w:noWrap/>
          </w:tcPr>
          <w:p w14:paraId="0018BE68"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504D5088"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CE ITIE-RDC / Ministère des Mines / Ministère des Hydrocarbures / régies financières / entreprises</w:t>
            </w:r>
          </w:p>
        </w:tc>
        <w:tc>
          <w:tcPr>
            <w:tcW w:w="1850" w:type="dxa"/>
            <w:gridSpan w:val="2"/>
            <w:shd w:val="clear" w:color="auto" w:fill="auto"/>
            <w:noWrap/>
          </w:tcPr>
          <w:p w14:paraId="4117467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déclaration par projet et amélioration des divulgations ; </w:t>
            </w:r>
          </w:p>
        </w:tc>
        <w:tc>
          <w:tcPr>
            <w:tcW w:w="2883" w:type="dxa"/>
            <w:gridSpan w:val="2"/>
          </w:tcPr>
          <w:p w14:paraId="34F69779"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Réalisé : Plusieurs ateliers </w:t>
            </w:r>
            <w:proofErr w:type="spellStart"/>
            <w:r w:rsidRPr="00496DF7">
              <w:rPr>
                <w:rFonts w:cstheme="minorHAnsi"/>
                <w:sz w:val="16"/>
                <w:szCs w:val="16"/>
              </w:rPr>
              <w:t>relaisés</w:t>
            </w:r>
            <w:proofErr w:type="spellEnd"/>
            <w:r w:rsidRPr="00496DF7">
              <w:rPr>
                <w:rFonts w:cstheme="minorHAnsi"/>
                <w:sz w:val="16"/>
                <w:szCs w:val="16"/>
              </w:rPr>
              <w:t xml:space="preserve"> à cet effet.</w:t>
            </w:r>
          </w:p>
        </w:tc>
        <w:tc>
          <w:tcPr>
            <w:tcW w:w="2292" w:type="dxa"/>
            <w:gridSpan w:val="2"/>
            <w:shd w:val="clear" w:color="auto" w:fill="auto"/>
            <w:noWrap/>
          </w:tcPr>
          <w:p w14:paraId="731DD3CC" w14:textId="77777777" w:rsidR="009B6B98" w:rsidRPr="00496DF7" w:rsidRDefault="009B6B98" w:rsidP="00565083">
            <w:pPr>
              <w:rPr>
                <w:rFonts w:cstheme="minorHAnsi"/>
                <w:color w:val="000000"/>
                <w:sz w:val="16"/>
                <w:szCs w:val="16"/>
                <w:lang w:eastAsia="en-GB"/>
              </w:rPr>
            </w:pPr>
            <w:r w:rsidRPr="00496DF7">
              <w:rPr>
                <w:sz w:val="16"/>
                <w:szCs w:val="16"/>
              </w:rPr>
              <w:t>Exigence 4.7.</w:t>
            </w:r>
          </w:p>
        </w:tc>
      </w:tr>
      <w:tr w:rsidR="009B6B98" w:rsidRPr="00496DF7" w14:paraId="1CFE2EC4" w14:textId="77777777" w:rsidTr="00565083">
        <w:trPr>
          <w:trHeight w:val="315"/>
        </w:trPr>
        <w:tc>
          <w:tcPr>
            <w:tcW w:w="284" w:type="dxa"/>
            <w:shd w:val="clear" w:color="auto" w:fill="auto"/>
            <w:noWrap/>
          </w:tcPr>
          <w:p w14:paraId="430A4392"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51</w:t>
            </w:r>
          </w:p>
        </w:tc>
        <w:tc>
          <w:tcPr>
            <w:tcW w:w="2683" w:type="dxa"/>
            <w:shd w:val="clear" w:color="auto" w:fill="auto"/>
            <w:noWrap/>
          </w:tcPr>
          <w:p w14:paraId="7BCF0536" w14:textId="77777777" w:rsidR="009B6B98" w:rsidRPr="00496DF7" w:rsidRDefault="009B6B98" w:rsidP="00565083">
            <w:pPr>
              <w:spacing w:after="200"/>
              <w:rPr>
                <w:rFonts w:cstheme="minorHAnsi"/>
                <w:sz w:val="16"/>
                <w:szCs w:val="16"/>
              </w:rPr>
            </w:pPr>
            <w:r w:rsidRPr="00496DF7">
              <w:rPr>
                <w:rFonts w:cstheme="minorHAnsi"/>
                <w:sz w:val="16"/>
                <w:szCs w:val="16"/>
              </w:rPr>
              <w:t>Renforcer les procédures d’assurance qualité des données financières en s’assurant que les sources gouvernementales sont régulièrement auditées conformément aux normes applicables.</w:t>
            </w:r>
          </w:p>
        </w:tc>
        <w:tc>
          <w:tcPr>
            <w:tcW w:w="1981" w:type="dxa"/>
            <w:gridSpan w:val="2"/>
            <w:shd w:val="clear" w:color="auto" w:fill="auto"/>
            <w:noWrap/>
          </w:tcPr>
          <w:p w14:paraId="5007EC4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Validation RDC 2022, mesure corrective ; Rapport ITIE-RDC 2022, </w:t>
            </w:r>
          </w:p>
        </w:tc>
        <w:tc>
          <w:tcPr>
            <w:tcW w:w="946" w:type="dxa"/>
            <w:shd w:val="clear" w:color="auto" w:fill="auto"/>
            <w:noWrap/>
          </w:tcPr>
          <w:p w14:paraId="5AFFCC16"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22454A9A"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Finances / régies financières / ST ITIE-RDC / entreprises déclarantes</w:t>
            </w:r>
          </w:p>
        </w:tc>
        <w:tc>
          <w:tcPr>
            <w:tcW w:w="1850" w:type="dxa"/>
            <w:gridSpan w:val="2"/>
            <w:shd w:val="clear" w:color="auto" w:fill="auto"/>
            <w:noWrap/>
          </w:tcPr>
          <w:p w14:paraId="574BAAEB"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fiabilité et qualité des données ; </w:t>
            </w:r>
          </w:p>
        </w:tc>
        <w:tc>
          <w:tcPr>
            <w:tcW w:w="2883" w:type="dxa"/>
            <w:gridSpan w:val="2"/>
          </w:tcPr>
          <w:p w14:paraId="0CE8E353"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Réalisé (cf. mécanisme de fiabilisation)</w:t>
            </w:r>
          </w:p>
        </w:tc>
        <w:tc>
          <w:tcPr>
            <w:tcW w:w="2292" w:type="dxa"/>
            <w:gridSpan w:val="2"/>
            <w:shd w:val="clear" w:color="auto" w:fill="auto"/>
            <w:noWrap/>
          </w:tcPr>
          <w:p w14:paraId="5D65947C" w14:textId="77777777" w:rsidR="009B6B98" w:rsidRPr="00496DF7" w:rsidRDefault="009B6B98" w:rsidP="00565083">
            <w:pPr>
              <w:rPr>
                <w:rFonts w:cstheme="minorHAnsi"/>
                <w:color w:val="000000"/>
                <w:sz w:val="16"/>
                <w:szCs w:val="16"/>
                <w:lang w:eastAsia="en-GB"/>
              </w:rPr>
            </w:pPr>
            <w:r w:rsidRPr="00496DF7">
              <w:rPr>
                <w:sz w:val="16"/>
                <w:szCs w:val="16"/>
              </w:rPr>
              <w:t>Exigence 4.9.</w:t>
            </w:r>
          </w:p>
        </w:tc>
      </w:tr>
      <w:tr w:rsidR="009B6B98" w:rsidRPr="00496DF7" w14:paraId="160843C3" w14:textId="77777777" w:rsidTr="00565083">
        <w:trPr>
          <w:trHeight w:val="315"/>
        </w:trPr>
        <w:tc>
          <w:tcPr>
            <w:tcW w:w="284" w:type="dxa"/>
            <w:shd w:val="clear" w:color="auto" w:fill="auto"/>
            <w:noWrap/>
          </w:tcPr>
          <w:p w14:paraId="5E54E740"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52</w:t>
            </w:r>
          </w:p>
        </w:tc>
        <w:tc>
          <w:tcPr>
            <w:tcW w:w="2683" w:type="dxa"/>
            <w:shd w:val="clear" w:color="auto" w:fill="auto"/>
            <w:noWrap/>
          </w:tcPr>
          <w:p w14:paraId="7A38581D" w14:textId="77777777" w:rsidR="009B6B98" w:rsidRPr="00496DF7" w:rsidRDefault="009B6B98" w:rsidP="00565083">
            <w:pPr>
              <w:spacing w:after="200"/>
              <w:rPr>
                <w:rFonts w:cstheme="minorHAnsi"/>
                <w:sz w:val="16"/>
                <w:szCs w:val="16"/>
              </w:rPr>
            </w:pPr>
            <w:r w:rsidRPr="00496DF7">
              <w:rPr>
                <w:rFonts w:cstheme="minorHAnsi"/>
                <w:sz w:val="16"/>
                <w:szCs w:val="16"/>
              </w:rPr>
              <w:t xml:space="preserve">Assurer une divulgation claire de la gestion des revenus extractifs </w:t>
            </w:r>
            <w:proofErr w:type="spellStart"/>
            <w:r w:rsidRPr="00496DF7">
              <w:rPr>
                <w:rFonts w:cstheme="minorHAnsi"/>
                <w:sz w:val="16"/>
                <w:szCs w:val="16"/>
              </w:rPr>
              <w:t>non inscrits</w:t>
            </w:r>
            <w:proofErr w:type="spellEnd"/>
            <w:r w:rsidRPr="00496DF7">
              <w:rPr>
                <w:rFonts w:cstheme="minorHAnsi"/>
                <w:sz w:val="16"/>
                <w:szCs w:val="16"/>
              </w:rPr>
              <w:t xml:space="preserve"> au budget national, avec </w:t>
            </w:r>
            <w:r w:rsidRPr="00496DF7">
              <w:rPr>
                <w:rFonts w:cstheme="minorHAnsi"/>
                <w:sz w:val="16"/>
                <w:szCs w:val="16"/>
              </w:rPr>
              <w:lastRenderedPageBreak/>
              <w:t>références aux rapports financiers publics et suivi des flux concernés.</w:t>
            </w:r>
          </w:p>
        </w:tc>
        <w:tc>
          <w:tcPr>
            <w:tcW w:w="1981" w:type="dxa"/>
            <w:gridSpan w:val="2"/>
            <w:shd w:val="clear" w:color="auto" w:fill="auto"/>
            <w:noWrap/>
          </w:tcPr>
          <w:p w14:paraId="5E9956E1" w14:textId="77777777" w:rsidR="009B6B98" w:rsidRPr="00496DF7" w:rsidRDefault="009B6B98" w:rsidP="00565083">
            <w:pPr>
              <w:rPr>
                <w:rFonts w:cstheme="minorHAnsi"/>
                <w:color w:val="000000"/>
                <w:sz w:val="16"/>
                <w:szCs w:val="16"/>
                <w:lang w:eastAsia="en-GB"/>
              </w:rPr>
            </w:pPr>
            <w:r w:rsidRPr="00496DF7">
              <w:rPr>
                <w:rFonts w:cstheme="minorHAnsi"/>
                <w:sz w:val="16"/>
                <w:szCs w:val="16"/>
              </w:rPr>
              <w:lastRenderedPageBreak/>
              <w:t>Validation RDC 2022, mesure corrective</w:t>
            </w:r>
          </w:p>
        </w:tc>
        <w:tc>
          <w:tcPr>
            <w:tcW w:w="946" w:type="dxa"/>
            <w:shd w:val="clear" w:color="auto" w:fill="auto"/>
            <w:noWrap/>
          </w:tcPr>
          <w:p w14:paraId="3BA6E9CE"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0D64452D"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Ministère des Finances /Ministère du Budget / BCC / CE ITIE-RDC ; </w:t>
            </w:r>
          </w:p>
        </w:tc>
        <w:tc>
          <w:tcPr>
            <w:tcW w:w="1850" w:type="dxa"/>
            <w:gridSpan w:val="2"/>
            <w:shd w:val="clear" w:color="auto" w:fill="auto"/>
            <w:noWrap/>
          </w:tcPr>
          <w:p w14:paraId="5ABE91CF"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gestion et répartition des revenus ; </w:t>
            </w:r>
          </w:p>
        </w:tc>
        <w:tc>
          <w:tcPr>
            <w:tcW w:w="2883" w:type="dxa"/>
            <w:gridSpan w:val="2"/>
          </w:tcPr>
          <w:p w14:paraId="5BEC9075" w14:textId="77777777" w:rsidR="009B6B98" w:rsidRPr="00496DF7" w:rsidRDefault="009B6B98" w:rsidP="00565083">
            <w:pPr>
              <w:rPr>
                <w:rFonts w:cstheme="minorHAnsi"/>
                <w:sz w:val="16"/>
                <w:szCs w:val="16"/>
              </w:rPr>
            </w:pPr>
            <w:proofErr w:type="spellStart"/>
            <w:r w:rsidRPr="00496DF7">
              <w:rPr>
                <w:rFonts w:cstheme="minorHAnsi"/>
                <w:sz w:val="16"/>
                <w:szCs w:val="16"/>
              </w:rPr>
              <w:t>Realisé</w:t>
            </w:r>
            <w:proofErr w:type="spellEnd"/>
          </w:p>
          <w:p w14:paraId="1D6EC5A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Cf. déclaration régulière de FOMIN</w:t>
            </w:r>
          </w:p>
        </w:tc>
        <w:tc>
          <w:tcPr>
            <w:tcW w:w="2292" w:type="dxa"/>
            <w:gridSpan w:val="2"/>
            <w:shd w:val="clear" w:color="auto" w:fill="auto"/>
            <w:noWrap/>
          </w:tcPr>
          <w:p w14:paraId="3DA24A46" w14:textId="77777777" w:rsidR="009B6B98" w:rsidRPr="00496DF7" w:rsidRDefault="009B6B98" w:rsidP="00565083">
            <w:pPr>
              <w:rPr>
                <w:rFonts w:cstheme="minorHAnsi"/>
                <w:color w:val="000000"/>
                <w:sz w:val="16"/>
                <w:szCs w:val="16"/>
                <w:lang w:eastAsia="en-GB"/>
              </w:rPr>
            </w:pPr>
            <w:r w:rsidRPr="00496DF7">
              <w:rPr>
                <w:sz w:val="16"/>
                <w:szCs w:val="16"/>
              </w:rPr>
              <w:t>Exigence 5.1.</w:t>
            </w:r>
          </w:p>
        </w:tc>
      </w:tr>
      <w:tr w:rsidR="009B6B98" w:rsidRPr="00496DF7" w14:paraId="40D236E7" w14:textId="77777777" w:rsidTr="00565083">
        <w:trPr>
          <w:trHeight w:val="315"/>
        </w:trPr>
        <w:tc>
          <w:tcPr>
            <w:tcW w:w="284" w:type="dxa"/>
            <w:shd w:val="clear" w:color="auto" w:fill="auto"/>
            <w:noWrap/>
          </w:tcPr>
          <w:p w14:paraId="561C4BA2"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53</w:t>
            </w:r>
          </w:p>
        </w:tc>
        <w:tc>
          <w:tcPr>
            <w:tcW w:w="2683" w:type="dxa"/>
            <w:shd w:val="clear" w:color="auto" w:fill="auto"/>
            <w:noWrap/>
          </w:tcPr>
          <w:p w14:paraId="168E5DBF" w14:textId="77777777" w:rsidR="009B6B98" w:rsidRPr="00496DF7" w:rsidRDefault="009B6B98" w:rsidP="00565083">
            <w:pPr>
              <w:spacing w:after="200"/>
              <w:rPr>
                <w:rFonts w:cstheme="minorHAnsi"/>
                <w:sz w:val="16"/>
                <w:szCs w:val="16"/>
              </w:rPr>
            </w:pPr>
            <w:r w:rsidRPr="00496DF7">
              <w:rPr>
                <w:rFonts w:cstheme="minorHAnsi"/>
                <w:sz w:val="16"/>
                <w:szCs w:val="16"/>
              </w:rPr>
              <w:t>Garantir la divulgation des paiements infranationaux par entreprise, entité bénéficiaire et projet, et décrire publiquement le cadre juridique applicable dans chaque province.</w:t>
            </w:r>
          </w:p>
        </w:tc>
        <w:tc>
          <w:tcPr>
            <w:tcW w:w="1981" w:type="dxa"/>
            <w:gridSpan w:val="2"/>
            <w:shd w:val="clear" w:color="auto" w:fill="auto"/>
            <w:noWrap/>
          </w:tcPr>
          <w:p w14:paraId="6EAF1E5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mesure corrective ; Rapport thématique sur la redevance minière</w:t>
            </w:r>
          </w:p>
        </w:tc>
        <w:tc>
          <w:tcPr>
            <w:tcW w:w="946" w:type="dxa"/>
            <w:shd w:val="clear" w:color="auto" w:fill="auto"/>
            <w:noWrap/>
          </w:tcPr>
          <w:p w14:paraId="4F2B9AB0"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56DA3CDC"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Mines / Ministère des Finances / provinces / ETD / régies provinciales / ITIE-RDC</w:t>
            </w:r>
          </w:p>
        </w:tc>
        <w:tc>
          <w:tcPr>
            <w:tcW w:w="1850" w:type="dxa"/>
            <w:gridSpan w:val="2"/>
            <w:shd w:val="clear" w:color="auto" w:fill="auto"/>
            <w:noWrap/>
          </w:tcPr>
          <w:p w14:paraId="0D5DA57B"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transferts infranationaux et redevance minière ; </w:t>
            </w:r>
          </w:p>
        </w:tc>
        <w:tc>
          <w:tcPr>
            <w:tcW w:w="2883" w:type="dxa"/>
            <w:gridSpan w:val="2"/>
          </w:tcPr>
          <w:p w14:paraId="5CA22631" w14:textId="77777777" w:rsidR="009B6B98" w:rsidRPr="00496DF7" w:rsidRDefault="009B6B98" w:rsidP="00565083">
            <w:pPr>
              <w:rPr>
                <w:rFonts w:cstheme="minorHAnsi"/>
                <w:sz w:val="16"/>
                <w:szCs w:val="16"/>
              </w:rPr>
            </w:pPr>
            <w:r w:rsidRPr="00496DF7">
              <w:rPr>
                <w:rFonts w:cstheme="minorHAnsi"/>
                <w:sz w:val="16"/>
                <w:szCs w:val="16"/>
              </w:rPr>
              <w:t>Réalisé</w:t>
            </w:r>
          </w:p>
          <w:p w14:paraId="539FFCB7"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Cf. institution des comptes dédiés et versement effectif dans ces comptes</w:t>
            </w:r>
          </w:p>
        </w:tc>
        <w:tc>
          <w:tcPr>
            <w:tcW w:w="2292" w:type="dxa"/>
            <w:gridSpan w:val="2"/>
            <w:shd w:val="clear" w:color="auto" w:fill="auto"/>
            <w:noWrap/>
          </w:tcPr>
          <w:p w14:paraId="3BAEED4B" w14:textId="77777777" w:rsidR="009B6B98" w:rsidRPr="00496DF7" w:rsidRDefault="009B6B98" w:rsidP="00565083">
            <w:pPr>
              <w:rPr>
                <w:rFonts w:cstheme="minorHAnsi"/>
                <w:color w:val="000000"/>
                <w:sz w:val="16"/>
                <w:szCs w:val="16"/>
                <w:lang w:eastAsia="en-GB"/>
              </w:rPr>
            </w:pPr>
            <w:r w:rsidRPr="00496DF7">
              <w:rPr>
                <w:sz w:val="16"/>
                <w:szCs w:val="16"/>
              </w:rPr>
              <w:t>Exigence 4.6.</w:t>
            </w:r>
          </w:p>
        </w:tc>
      </w:tr>
      <w:tr w:rsidR="009B6B98" w:rsidRPr="00496DF7" w14:paraId="2CCE896C" w14:textId="77777777" w:rsidTr="00565083">
        <w:trPr>
          <w:trHeight w:val="315"/>
        </w:trPr>
        <w:tc>
          <w:tcPr>
            <w:tcW w:w="284" w:type="dxa"/>
            <w:shd w:val="clear" w:color="auto" w:fill="auto"/>
            <w:noWrap/>
          </w:tcPr>
          <w:p w14:paraId="5B9121E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54</w:t>
            </w:r>
          </w:p>
        </w:tc>
        <w:tc>
          <w:tcPr>
            <w:tcW w:w="2683" w:type="dxa"/>
            <w:shd w:val="clear" w:color="auto" w:fill="auto"/>
            <w:noWrap/>
          </w:tcPr>
          <w:p w14:paraId="69CE3032" w14:textId="77777777" w:rsidR="009B6B98" w:rsidRPr="00496DF7" w:rsidRDefault="009B6B98" w:rsidP="00565083">
            <w:pPr>
              <w:spacing w:after="200"/>
              <w:rPr>
                <w:rFonts w:cstheme="minorHAnsi"/>
                <w:sz w:val="16"/>
                <w:szCs w:val="16"/>
              </w:rPr>
            </w:pPr>
            <w:r w:rsidRPr="00496DF7">
              <w:rPr>
                <w:rFonts w:cstheme="minorHAnsi"/>
                <w:sz w:val="16"/>
                <w:szCs w:val="16"/>
              </w:rPr>
              <w:t>Publier les dépenses sociales significatives et les paiements environnementaux significatifs, y compris les bénéficiaires et les conditions des obligations communautaires.</w:t>
            </w:r>
          </w:p>
        </w:tc>
        <w:tc>
          <w:tcPr>
            <w:tcW w:w="1981" w:type="dxa"/>
            <w:gridSpan w:val="2"/>
            <w:shd w:val="clear" w:color="auto" w:fill="auto"/>
            <w:noWrap/>
          </w:tcPr>
          <w:p w14:paraId="261BDE7C"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Validation RDC 2022, mesure corrective ; Rapport ITIE-RDC 2022, </w:t>
            </w:r>
          </w:p>
        </w:tc>
        <w:tc>
          <w:tcPr>
            <w:tcW w:w="946" w:type="dxa"/>
            <w:shd w:val="clear" w:color="auto" w:fill="auto"/>
            <w:noWrap/>
          </w:tcPr>
          <w:p w14:paraId="1632F93E"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3C9069DC"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Mines / DPEM / ACE / entreprises extractives / ETD / CE ITIE-RDC</w:t>
            </w:r>
          </w:p>
        </w:tc>
        <w:tc>
          <w:tcPr>
            <w:tcW w:w="1850" w:type="dxa"/>
            <w:gridSpan w:val="2"/>
            <w:shd w:val="clear" w:color="auto" w:fill="auto"/>
            <w:noWrap/>
          </w:tcPr>
          <w:p w14:paraId="0B39E87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transparence sociale et </w:t>
            </w:r>
            <w:proofErr w:type="gramStart"/>
            <w:r w:rsidRPr="00496DF7">
              <w:rPr>
                <w:rFonts w:cstheme="minorHAnsi"/>
                <w:sz w:val="16"/>
                <w:szCs w:val="16"/>
              </w:rPr>
              <w:t>environnementale;</w:t>
            </w:r>
            <w:proofErr w:type="gramEnd"/>
            <w:r w:rsidRPr="00496DF7">
              <w:rPr>
                <w:rFonts w:cstheme="minorHAnsi"/>
                <w:sz w:val="16"/>
                <w:szCs w:val="16"/>
              </w:rPr>
              <w:t xml:space="preserve"> sous-activité 27.4</w:t>
            </w:r>
          </w:p>
        </w:tc>
        <w:tc>
          <w:tcPr>
            <w:tcW w:w="2883" w:type="dxa"/>
            <w:gridSpan w:val="2"/>
          </w:tcPr>
          <w:p w14:paraId="47976136" w14:textId="77777777" w:rsidR="009B6B98" w:rsidRPr="00496DF7" w:rsidRDefault="009B6B98" w:rsidP="00565083">
            <w:pPr>
              <w:rPr>
                <w:rFonts w:cstheme="minorHAnsi"/>
                <w:sz w:val="16"/>
                <w:szCs w:val="16"/>
              </w:rPr>
            </w:pPr>
            <w:proofErr w:type="spellStart"/>
            <w:r w:rsidRPr="00496DF7">
              <w:rPr>
                <w:rFonts w:cstheme="minorHAnsi"/>
                <w:sz w:val="16"/>
                <w:szCs w:val="16"/>
              </w:rPr>
              <w:t>Realisé</w:t>
            </w:r>
            <w:proofErr w:type="spellEnd"/>
          </w:p>
          <w:p w14:paraId="157941DE"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Voir Rapports 2022, 2023 et les deux Rapports thématiques l’exécution des engagements sociaux des entreprises minières </w:t>
            </w:r>
          </w:p>
        </w:tc>
        <w:tc>
          <w:tcPr>
            <w:tcW w:w="2292" w:type="dxa"/>
            <w:gridSpan w:val="2"/>
            <w:shd w:val="clear" w:color="auto" w:fill="auto"/>
            <w:noWrap/>
          </w:tcPr>
          <w:p w14:paraId="67E08EAE" w14:textId="77777777" w:rsidR="009B6B98" w:rsidRPr="00496DF7" w:rsidRDefault="009B6B98" w:rsidP="00565083">
            <w:pPr>
              <w:rPr>
                <w:rFonts w:cstheme="minorHAnsi"/>
                <w:color w:val="000000"/>
                <w:sz w:val="16"/>
                <w:szCs w:val="16"/>
                <w:lang w:eastAsia="en-GB"/>
              </w:rPr>
            </w:pPr>
            <w:r w:rsidRPr="00496DF7">
              <w:rPr>
                <w:sz w:val="16"/>
                <w:szCs w:val="16"/>
              </w:rPr>
              <w:t>Exigence 6.1.</w:t>
            </w:r>
          </w:p>
        </w:tc>
      </w:tr>
      <w:tr w:rsidR="009B6B98" w:rsidRPr="00496DF7" w14:paraId="650DEE6E" w14:textId="77777777" w:rsidTr="00565083">
        <w:trPr>
          <w:trHeight w:val="315"/>
        </w:trPr>
        <w:tc>
          <w:tcPr>
            <w:tcW w:w="284" w:type="dxa"/>
            <w:shd w:val="clear" w:color="auto" w:fill="auto"/>
            <w:noWrap/>
          </w:tcPr>
          <w:p w14:paraId="0A7AB068"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55</w:t>
            </w:r>
          </w:p>
        </w:tc>
        <w:tc>
          <w:tcPr>
            <w:tcW w:w="2683" w:type="dxa"/>
            <w:shd w:val="clear" w:color="auto" w:fill="auto"/>
            <w:noWrap/>
          </w:tcPr>
          <w:p w14:paraId="1FCE33CA" w14:textId="77777777" w:rsidR="009B6B98" w:rsidRPr="00496DF7" w:rsidRDefault="009B6B98" w:rsidP="00565083">
            <w:pPr>
              <w:spacing w:after="200"/>
              <w:rPr>
                <w:rFonts w:cstheme="minorHAnsi"/>
                <w:sz w:val="16"/>
                <w:szCs w:val="16"/>
              </w:rPr>
            </w:pPr>
            <w:r w:rsidRPr="00496DF7">
              <w:rPr>
                <w:rFonts w:cstheme="minorHAnsi"/>
                <w:sz w:val="16"/>
                <w:szCs w:val="16"/>
              </w:rPr>
              <w:t>Accompagner le plan de travail annuel de l’ITIE d’un cadre de suivi permettant de présenter régulièrement l’état d’exécution des recommandations des rapports et validations.</w:t>
            </w:r>
          </w:p>
        </w:tc>
        <w:tc>
          <w:tcPr>
            <w:tcW w:w="1981" w:type="dxa"/>
            <w:gridSpan w:val="2"/>
            <w:shd w:val="clear" w:color="auto" w:fill="auto"/>
            <w:noWrap/>
          </w:tcPr>
          <w:p w14:paraId="44A59417"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recommandation stratégique – Résultats et impact</w:t>
            </w:r>
          </w:p>
        </w:tc>
        <w:tc>
          <w:tcPr>
            <w:tcW w:w="946" w:type="dxa"/>
            <w:shd w:val="clear" w:color="auto" w:fill="auto"/>
            <w:noWrap/>
          </w:tcPr>
          <w:p w14:paraId="1F2F09AE"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6A930B16"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CE &amp; ST ITIE-RDC</w:t>
            </w:r>
          </w:p>
        </w:tc>
        <w:tc>
          <w:tcPr>
            <w:tcW w:w="1850" w:type="dxa"/>
            <w:gridSpan w:val="2"/>
            <w:shd w:val="clear" w:color="auto" w:fill="auto"/>
            <w:noWrap/>
          </w:tcPr>
          <w:p w14:paraId="261D31A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suivi-évaluation ; </w:t>
            </w:r>
          </w:p>
        </w:tc>
        <w:tc>
          <w:tcPr>
            <w:tcW w:w="2883" w:type="dxa"/>
            <w:gridSpan w:val="2"/>
          </w:tcPr>
          <w:p w14:paraId="49065AF0"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Action complétée</w:t>
            </w:r>
          </w:p>
        </w:tc>
        <w:tc>
          <w:tcPr>
            <w:tcW w:w="2292" w:type="dxa"/>
            <w:gridSpan w:val="2"/>
            <w:shd w:val="clear" w:color="auto" w:fill="auto"/>
            <w:noWrap/>
          </w:tcPr>
          <w:p w14:paraId="13DB746B" w14:textId="77777777" w:rsidR="009B6B98" w:rsidRPr="00496DF7" w:rsidRDefault="009B6B98" w:rsidP="00565083">
            <w:pPr>
              <w:rPr>
                <w:rFonts w:cstheme="minorHAnsi"/>
                <w:color w:val="000000"/>
                <w:sz w:val="16"/>
                <w:szCs w:val="16"/>
                <w:lang w:eastAsia="en-GB"/>
              </w:rPr>
            </w:pPr>
            <w:r w:rsidRPr="00496DF7">
              <w:rPr>
                <w:sz w:val="16"/>
                <w:szCs w:val="16"/>
              </w:rPr>
              <w:t>Exigence 7.3 – mécanisme de suivi des recommandations déjà renforcé ; à maintenir et documenter.</w:t>
            </w:r>
          </w:p>
        </w:tc>
      </w:tr>
      <w:tr w:rsidR="009B6B98" w:rsidRPr="00496DF7" w14:paraId="5016E196" w14:textId="77777777" w:rsidTr="00565083">
        <w:trPr>
          <w:trHeight w:val="315"/>
        </w:trPr>
        <w:tc>
          <w:tcPr>
            <w:tcW w:w="284" w:type="dxa"/>
            <w:shd w:val="clear" w:color="auto" w:fill="auto"/>
            <w:noWrap/>
          </w:tcPr>
          <w:p w14:paraId="6280EFB0"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56</w:t>
            </w:r>
          </w:p>
        </w:tc>
        <w:tc>
          <w:tcPr>
            <w:tcW w:w="2683" w:type="dxa"/>
            <w:shd w:val="clear" w:color="auto" w:fill="auto"/>
            <w:noWrap/>
          </w:tcPr>
          <w:p w14:paraId="07782B34" w14:textId="77777777" w:rsidR="009B6B98" w:rsidRPr="00496DF7" w:rsidRDefault="009B6B98" w:rsidP="00565083">
            <w:pPr>
              <w:spacing w:after="200"/>
              <w:rPr>
                <w:rFonts w:cstheme="minorHAnsi"/>
                <w:sz w:val="16"/>
                <w:szCs w:val="16"/>
              </w:rPr>
            </w:pPr>
            <w:r w:rsidRPr="00496DF7">
              <w:rPr>
                <w:rFonts w:cstheme="minorHAnsi"/>
                <w:sz w:val="16"/>
                <w:szCs w:val="16"/>
              </w:rPr>
              <w:t>Publier systématiquement les données ITIE dans des formats ouverts, lisibles par machine et interopérables.</w:t>
            </w:r>
          </w:p>
        </w:tc>
        <w:tc>
          <w:tcPr>
            <w:tcW w:w="1981" w:type="dxa"/>
            <w:gridSpan w:val="2"/>
            <w:shd w:val="clear" w:color="auto" w:fill="auto"/>
            <w:noWrap/>
          </w:tcPr>
          <w:p w14:paraId="281E0B76"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recommandation stratégique – Résultats et impact</w:t>
            </w:r>
          </w:p>
        </w:tc>
        <w:tc>
          <w:tcPr>
            <w:tcW w:w="946" w:type="dxa"/>
            <w:shd w:val="clear" w:color="auto" w:fill="auto"/>
            <w:noWrap/>
          </w:tcPr>
          <w:p w14:paraId="23AA6FBB"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5C8D25CF"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CE ITIE-RDC / CTCPM / CAMI / SGH / administrations publiques</w:t>
            </w:r>
          </w:p>
        </w:tc>
        <w:tc>
          <w:tcPr>
            <w:tcW w:w="1850" w:type="dxa"/>
            <w:gridSpan w:val="2"/>
            <w:shd w:val="clear" w:color="auto" w:fill="auto"/>
            <w:noWrap/>
          </w:tcPr>
          <w:p w14:paraId="2DF05DFA"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PTT 2024-2026 – divulgation systématique ; PTBA 2024, activité 14.2 et activités de données ouvertes</w:t>
            </w:r>
          </w:p>
        </w:tc>
        <w:tc>
          <w:tcPr>
            <w:tcW w:w="2883" w:type="dxa"/>
            <w:gridSpan w:val="2"/>
          </w:tcPr>
          <w:p w14:paraId="7952093F" w14:textId="77777777" w:rsidR="009B6B98" w:rsidRPr="00496DF7" w:rsidRDefault="009B6B98" w:rsidP="00565083">
            <w:pPr>
              <w:rPr>
                <w:rFonts w:cstheme="minorHAnsi"/>
                <w:color w:val="000000"/>
                <w:sz w:val="16"/>
                <w:szCs w:val="16"/>
                <w:lang w:eastAsia="en-GB"/>
              </w:rPr>
            </w:pPr>
            <w:proofErr w:type="spellStart"/>
            <w:r w:rsidRPr="00496DF7">
              <w:rPr>
                <w:rFonts w:cstheme="minorHAnsi"/>
                <w:sz w:val="16"/>
                <w:szCs w:val="16"/>
              </w:rPr>
              <w:t>Realisé</w:t>
            </w:r>
            <w:proofErr w:type="spellEnd"/>
          </w:p>
        </w:tc>
        <w:tc>
          <w:tcPr>
            <w:tcW w:w="2292" w:type="dxa"/>
            <w:gridSpan w:val="2"/>
            <w:shd w:val="clear" w:color="auto" w:fill="auto"/>
            <w:noWrap/>
          </w:tcPr>
          <w:p w14:paraId="5B39B663" w14:textId="77777777" w:rsidR="009B6B98" w:rsidRPr="00496DF7" w:rsidRDefault="009B6B98" w:rsidP="00565083">
            <w:pPr>
              <w:rPr>
                <w:rFonts w:cstheme="minorHAnsi"/>
                <w:color w:val="000000"/>
                <w:sz w:val="16"/>
                <w:szCs w:val="16"/>
                <w:lang w:eastAsia="en-GB"/>
              </w:rPr>
            </w:pPr>
            <w:r w:rsidRPr="00496DF7">
              <w:rPr>
                <w:sz w:val="16"/>
                <w:szCs w:val="16"/>
              </w:rPr>
              <w:t>Exigences 7.2 et divulgation systématique.</w:t>
            </w:r>
          </w:p>
        </w:tc>
      </w:tr>
      <w:tr w:rsidR="009B6B98" w:rsidRPr="00496DF7" w14:paraId="6510A02C" w14:textId="77777777" w:rsidTr="00565083">
        <w:trPr>
          <w:trHeight w:val="315"/>
        </w:trPr>
        <w:tc>
          <w:tcPr>
            <w:tcW w:w="284" w:type="dxa"/>
            <w:shd w:val="clear" w:color="auto" w:fill="auto"/>
            <w:noWrap/>
          </w:tcPr>
          <w:p w14:paraId="18D9075E"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57</w:t>
            </w:r>
          </w:p>
        </w:tc>
        <w:tc>
          <w:tcPr>
            <w:tcW w:w="2683" w:type="dxa"/>
            <w:shd w:val="clear" w:color="auto" w:fill="auto"/>
            <w:noWrap/>
          </w:tcPr>
          <w:p w14:paraId="58FC6CC0" w14:textId="77777777" w:rsidR="009B6B98" w:rsidRPr="00496DF7" w:rsidRDefault="009B6B98" w:rsidP="00565083">
            <w:pPr>
              <w:spacing w:after="200"/>
              <w:rPr>
                <w:rFonts w:cstheme="minorHAnsi"/>
                <w:sz w:val="16"/>
                <w:szCs w:val="16"/>
              </w:rPr>
            </w:pPr>
            <w:r w:rsidRPr="00496DF7">
              <w:rPr>
                <w:rFonts w:cstheme="minorHAnsi"/>
                <w:sz w:val="16"/>
                <w:szCs w:val="16"/>
              </w:rPr>
              <w:t>Mettre en place une présentation publique régulière de l’avancement du suivi des recommandations des Rapports ITIE et des Validations.</w:t>
            </w:r>
          </w:p>
        </w:tc>
        <w:tc>
          <w:tcPr>
            <w:tcW w:w="1981" w:type="dxa"/>
            <w:gridSpan w:val="2"/>
            <w:shd w:val="clear" w:color="auto" w:fill="auto"/>
            <w:noWrap/>
          </w:tcPr>
          <w:p w14:paraId="66E4E627"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recommandation stratégique – Résultats et impact</w:t>
            </w:r>
          </w:p>
        </w:tc>
        <w:tc>
          <w:tcPr>
            <w:tcW w:w="946" w:type="dxa"/>
            <w:shd w:val="clear" w:color="auto" w:fill="auto"/>
            <w:noWrap/>
          </w:tcPr>
          <w:p w14:paraId="765E4F4A"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1B14C40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CE ITIE-RDC </w:t>
            </w:r>
          </w:p>
        </w:tc>
        <w:tc>
          <w:tcPr>
            <w:tcW w:w="1850" w:type="dxa"/>
            <w:gridSpan w:val="2"/>
            <w:shd w:val="clear" w:color="auto" w:fill="auto"/>
            <w:noWrap/>
          </w:tcPr>
          <w:p w14:paraId="06B0AA4B"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suivi des </w:t>
            </w:r>
            <w:proofErr w:type="gramStart"/>
            <w:r w:rsidRPr="00496DF7">
              <w:rPr>
                <w:rFonts w:cstheme="minorHAnsi"/>
                <w:sz w:val="16"/>
                <w:szCs w:val="16"/>
              </w:rPr>
              <w:t>recommandations;</w:t>
            </w:r>
            <w:proofErr w:type="gramEnd"/>
            <w:r w:rsidRPr="00496DF7">
              <w:rPr>
                <w:rFonts w:cstheme="minorHAnsi"/>
                <w:sz w:val="16"/>
                <w:szCs w:val="16"/>
              </w:rPr>
              <w:t xml:space="preserve"> RAA 2023-2024 et PTBA 2025 &amp; 2026</w:t>
            </w:r>
          </w:p>
        </w:tc>
        <w:tc>
          <w:tcPr>
            <w:tcW w:w="2883" w:type="dxa"/>
            <w:gridSpan w:val="2"/>
          </w:tcPr>
          <w:p w14:paraId="4281B4BF"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Action complétée</w:t>
            </w:r>
          </w:p>
        </w:tc>
        <w:tc>
          <w:tcPr>
            <w:tcW w:w="2292" w:type="dxa"/>
            <w:gridSpan w:val="2"/>
            <w:shd w:val="clear" w:color="auto" w:fill="auto"/>
            <w:noWrap/>
          </w:tcPr>
          <w:p w14:paraId="04FFD164" w14:textId="77777777" w:rsidR="009B6B98" w:rsidRPr="00496DF7" w:rsidRDefault="009B6B98" w:rsidP="00565083">
            <w:pPr>
              <w:rPr>
                <w:rFonts w:cstheme="minorHAnsi"/>
                <w:color w:val="000000"/>
                <w:sz w:val="16"/>
                <w:szCs w:val="16"/>
                <w:lang w:eastAsia="en-GB"/>
              </w:rPr>
            </w:pPr>
            <w:r w:rsidRPr="00496DF7">
              <w:rPr>
                <w:sz w:val="16"/>
                <w:szCs w:val="16"/>
              </w:rPr>
              <w:t>Exigence 7.3 – le suivi est intégré aux rapports et aux travaux de validation.</w:t>
            </w:r>
          </w:p>
        </w:tc>
      </w:tr>
      <w:tr w:rsidR="009B6B98" w:rsidRPr="00496DF7" w14:paraId="675226A7" w14:textId="77777777" w:rsidTr="00565083">
        <w:trPr>
          <w:trHeight w:val="315"/>
        </w:trPr>
        <w:tc>
          <w:tcPr>
            <w:tcW w:w="284" w:type="dxa"/>
            <w:shd w:val="clear" w:color="auto" w:fill="auto"/>
            <w:noWrap/>
          </w:tcPr>
          <w:p w14:paraId="49DDB6B0"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58</w:t>
            </w:r>
          </w:p>
        </w:tc>
        <w:tc>
          <w:tcPr>
            <w:tcW w:w="2683" w:type="dxa"/>
            <w:shd w:val="clear" w:color="auto" w:fill="auto"/>
            <w:noWrap/>
          </w:tcPr>
          <w:p w14:paraId="59B65DB2" w14:textId="77777777" w:rsidR="009B6B98" w:rsidRPr="00496DF7" w:rsidRDefault="009B6B98" w:rsidP="00565083">
            <w:pPr>
              <w:spacing w:after="200"/>
              <w:rPr>
                <w:rFonts w:cstheme="minorHAnsi"/>
                <w:sz w:val="16"/>
                <w:szCs w:val="16"/>
              </w:rPr>
            </w:pPr>
            <w:r w:rsidRPr="00496DF7">
              <w:rPr>
                <w:rFonts w:cstheme="minorHAnsi"/>
                <w:sz w:val="16"/>
                <w:szCs w:val="16"/>
              </w:rPr>
              <w:t>Poursuivre la protection de l’espace civique, clarifier les procédures judiciaires concernant les lanceurs d’alerte et documenter les mesures prises pour lever les obstacles à la participation de la société civile.</w:t>
            </w:r>
          </w:p>
        </w:tc>
        <w:tc>
          <w:tcPr>
            <w:tcW w:w="1981" w:type="dxa"/>
            <w:gridSpan w:val="2"/>
            <w:shd w:val="clear" w:color="auto" w:fill="auto"/>
            <w:noWrap/>
          </w:tcPr>
          <w:p w14:paraId="443554C0"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recommandation stratégique – Engagement des parties prenantes</w:t>
            </w:r>
          </w:p>
        </w:tc>
        <w:tc>
          <w:tcPr>
            <w:tcW w:w="946" w:type="dxa"/>
            <w:shd w:val="clear" w:color="auto" w:fill="auto"/>
            <w:noWrap/>
          </w:tcPr>
          <w:p w14:paraId="4D01107B"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3CE22A82"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Gouvernement / Ministère de la Justice / Groupe multipartite / société civile</w:t>
            </w:r>
          </w:p>
        </w:tc>
        <w:tc>
          <w:tcPr>
            <w:tcW w:w="1850" w:type="dxa"/>
            <w:gridSpan w:val="2"/>
            <w:shd w:val="clear" w:color="auto" w:fill="auto"/>
            <w:noWrap/>
          </w:tcPr>
          <w:p w14:paraId="4B857F50"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engagement des parties prenantes et protocole société </w:t>
            </w:r>
            <w:proofErr w:type="gramStart"/>
            <w:r w:rsidRPr="00496DF7">
              <w:rPr>
                <w:rFonts w:cstheme="minorHAnsi"/>
                <w:sz w:val="16"/>
                <w:szCs w:val="16"/>
              </w:rPr>
              <w:t>civile;</w:t>
            </w:r>
            <w:proofErr w:type="gramEnd"/>
            <w:r w:rsidRPr="00496DF7">
              <w:rPr>
                <w:rFonts w:cstheme="minorHAnsi"/>
                <w:sz w:val="16"/>
                <w:szCs w:val="16"/>
              </w:rPr>
              <w:t xml:space="preserve"> </w:t>
            </w:r>
          </w:p>
        </w:tc>
        <w:tc>
          <w:tcPr>
            <w:tcW w:w="2883" w:type="dxa"/>
            <w:gridSpan w:val="2"/>
          </w:tcPr>
          <w:p w14:paraId="5B7201D8"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En cours</w:t>
            </w:r>
          </w:p>
        </w:tc>
        <w:tc>
          <w:tcPr>
            <w:tcW w:w="2292" w:type="dxa"/>
            <w:gridSpan w:val="2"/>
            <w:shd w:val="clear" w:color="auto" w:fill="auto"/>
            <w:noWrap/>
          </w:tcPr>
          <w:p w14:paraId="3FBD96E2" w14:textId="77777777" w:rsidR="009B6B98" w:rsidRPr="00496DF7" w:rsidRDefault="009B6B98" w:rsidP="00565083">
            <w:pPr>
              <w:rPr>
                <w:rFonts w:cstheme="minorHAnsi"/>
                <w:color w:val="000000"/>
                <w:sz w:val="16"/>
                <w:szCs w:val="16"/>
                <w:lang w:eastAsia="en-GB"/>
              </w:rPr>
            </w:pPr>
            <w:r w:rsidRPr="00496DF7">
              <w:rPr>
                <w:sz w:val="16"/>
                <w:szCs w:val="16"/>
              </w:rPr>
              <w:t>Protocole ITIE sur la participation de la société civile.</w:t>
            </w:r>
          </w:p>
        </w:tc>
      </w:tr>
      <w:tr w:rsidR="009B6B98" w:rsidRPr="00496DF7" w14:paraId="57BF204D" w14:textId="77777777" w:rsidTr="00565083">
        <w:trPr>
          <w:trHeight w:val="315"/>
        </w:trPr>
        <w:tc>
          <w:tcPr>
            <w:tcW w:w="284" w:type="dxa"/>
            <w:shd w:val="clear" w:color="auto" w:fill="auto"/>
            <w:noWrap/>
          </w:tcPr>
          <w:p w14:paraId="55A1CA9B"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59</w:t>
            </w:r>
          </w:p>
        </w:tc>
        <w:tc>
          <w:tcPr>
            <w:tcW w:w="2683" w:type="dxa"/>
            <w:shd w:val="clear" w:color="auto" w:fill="auto"/>
            <w:noWrap/>
          </w:tcPr>
          <w:p w14:paraId="3AE67267" w14:textId="77777777" w:rsidR="009B6B98" w:rsidRPr="00496DF7" w:rsidRDefault="009B6B98" w:rsidP="00565083">
            <w:pPr>
              <w:spacing w:after="200"/>
              <w:rPr>
                <w:rFonts w:cstheme="minorHAnsi"/>
                <w:sz w:val="16"/>
                <w:szCs w:val="16"/>
              </w:rPr>
            </w:pPr>
            <w:r w:rsidRPr="00496DF7">
              <w:rPr>
                <w:rFonts w:cstheme="minorHAnsi"/>
                <w:sz w:val="16"/>
                <w:szCs w:val="16"/>
              </w:rPr>
              <w:t xml:space="preserve">Mettre en place des bases de données centralisées et régulièrement mises à jour des contrats et licences publiés dans </w:t>
            </w:r>
            <w:proofErr w:type="gramStart"/>
            <w:r w:rsidRPr="00496DF7">
              <w:rPr>
                <w:rFonts w:cstheme="minorHAnsi"/>
                <w:sz w:val="16"/>
                <w:szCs w:val="16"/>
              </w:rPr>
              <w:t>les secteurs minier</w:t>
            </w:r>
            <w:proofErr w:type="gramEnd"/>
            <w:r w:rsidRPr="00496DF7">
              <w:rPr>
                <w:rFonts w:cstheme="minorHAnsi"/>
                <w:sz w:val="16"/>
                <w:szCs w:val="16"/>
              </w:rPr>
              <w:t>, pétrolier et gazier.</w:t>
            </w:r>
          </w:p>
        </w:tc>
        <w:tc>
          <w:tcPr>
            <w:tcW w:w="1981" w:type="dxa"/>
            <w:gridSpan w:val="2"/>
            <w:shd w:val="clear" w:color="auto" w:fill="auto"/>
            <w:noWrap/>
          </w:tcPr>
          <w:p w14:paraId="35BFA7F2"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recommandation stratégique – Transparence</w:t>
            </w:r>
          </w:p>
        </w:tc>
        <w:tc>
          <w:tcPr>
            <w:tcW w:w="946" w:type="dxa"/>
            <w:shd w:val="clear" w:color="auto" w:fill="auto"/>
            <w:noWrap/>
          </w:tcPr>
          <w:p w14:paraId="149AB02E"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0D65903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Mines / CAMI / Ministère des Hydrocarbures / SGH / CTCPM / CE ITIE-RDC</w:t>
            </w:r>
          </w:p>
        </w:tc>
        <w:tc>
          <w:tcPr>
            <w:tcW w:w="1850" w:type="dxa"/>
            <w:gridSpan w:val="2"/>
            <w:shd w:val="clear" w:color="auto" w:fill="auto"/>
            <w:noWrap/>
          </w:tcPr>
          <w:p w14:paraId="0C59FD46"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licences, contrats et données </w:t>
            </w:r>
            <w:proofErr w:type="gramStart"/>
            <w:r w:rsidRPr="00496DF7">
              <w:rPr>
                <w:rFonts w:cstheme="minorHAnsi"/>
                <w:sz w:val="16"/>
                <w:szCs w:val="16"/>
              </w:rPr>
              <w:t>ouvertes;</w:t>
            </w:r>
            <w:proofErr w:type="gramEnd"/>
            <w:r w:rsidRPr="00496DF7">
              <w:rPr>
                <w:rFonts w:cstheme="minorHAnsi"/>
                <w:sz w:val="16"/>
                <w:szCs w:val="16"/>
              </w:rPr>
              <w:t xml:space="preserve"> </w:t>
            </w:r>
          </w:p>
        </w:tc>
        <w:tc>
          <w:tcPr>
            <w:tcW w:w="2883" w:type="dxa"/>
            <w:gridSpan w:val="2"/>
          </w:tcPr>
          <w:p w14:paraId="73562CDC" w14:textId="77777777" w:rsidR="009B6B98" w:rsidRPr="00496DF7" w:rsidRDefault="009B6B98" w:rsidP="00565083">
            <w:pPr>
              <w:rPr>
                <w:rFonts w:cstheme="minorHAnsi"/>
                <w:sz w:val="16"/>
                <w:szCs w:val="16"/>
              </w:rPr>
            </w:pPr>
            <w:proofErr w:type="spellStart"/>
            <w:r w:rsidRPr="00496DF7">
              <w:rPr>
                <w:rFonts w:cstheme="minorHAnsi"/>
                <w:sz w:val="16"/>
                <w:szCs w:val="16"/>
              </w:rPr>
              <w:t>Realisé</w:t>
            </w:r>
            <w:proofErr w:type="spellEnd"/>
          </w:p>
          <w:p w14:paraId="4C03EA3C"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 xml:space="preserve">Voir mise en place de Data </w:t>
            </w:r>
            <w:proofErr w:type="spellStart"/>
            <w:r w:rsidRPr="00496DF7">
              <w:rPr>
                <w:rFonts w:cstheme="minorHAnsi"/>
                <w:color w:val="000000"/>
                <w:sz w:val="16"/>
                <w:szCs w:val="16"/>
                <w:lang w:eastAsia="en-GB"/>
              </w:rPr>
              <w:t>warehouse</w:t>
            </w:r>
            <w:proofErr w:type="spellEnd"/>
            <w:r w:rsidRPr="00496DF7">
              <w:rPr>
                <w:rFonts w:cstheme="minorHAnsi"/>
                <w:color w:val="000000"/>
                <w:sz w:val="16"/>
                <w:szCs w:val="16"/>
                <w:lang w:eastAsia="en-GB"/>
              </w:rPr>
              <w:t xml:space="preserve"> au ministère des mines et base CAMI pour la gestion des droits</w:t>
            </w:r>
          </w:p>
        </w:tc>
        <w:tc>
          <w:tcPr>
            <w:tcW w:w="2292" w:type="dxa"/>
            <w:gridSpan w:val="2"/>
            <w:shd w:val="clear" w:color="auto" w:fill="auto"/>
            <w:noWrap/>
          </w:tcPr>
          <w:p w14:paraId="4D3DD271" w14:textId="77777777" w:rsidR="009B6B98" w:rsidRPr="00496DF7" w:rsidRDefault="009B6B98" w:rsidP="00565083">
            <w:pPr>
              <w:rPr>
                <w:rFonts w:cstheme="minorHAnsi"/>
                <w:color w:val="000000"/>
                <w:sz w:val="16"/>
                <w:szCs w:val="16"/>
                <w:lang w:eastAsia="en-GB"/>
              </w:rPr>
            </w:pPr>
            <w:r w:rsidRPr="00496DF7">
              <w:rPr>
                <w:sz w:val="16"/>
                <w:szCs w:val="16"/>
              </w:rPr>
              <w:t>Exigences 2.2, 2.3 et 2.4.</w:t>
            </w:r>
          </w:p>
        </w:tc>
      </w:tr>
      <w:tr w:rsidR="009B6B98" w:rsidRPr="00496DF7" w14:paraId="3A1DD512" w14:textId="77777777" w:rsidTr="00565083">
        <w:trPr>
          <w:trHeight w:val="315"/>
        </w:trPr>
        <w:tc>
          <w:tcPr>
            <w:tcW w:w="284" w:type="dxa"/>
            <w:shd w:val="clear" w:color="auto" w:fill="auto"/>
            <w:noWrap/>
          </w:tcPr>
          <w:p w14:paraId="5A470F59" w14:textId="77777777" w:rsidR="009B6B98" w:rsidRPr="00496DF7" w:rsidRDefault="009B6B98" w:rsidP="00565083">
            <w:pPr>
              <w:rPr>
                <w:rFonts w:cstheme="minorHAnsi"/>
                <w:color w:val="000000"/>
                <w:sz w:val="16"/>
                <w:szCs w:val="16"/>
                <w:lang w:eastAsia="en-GB"/>
              </w:rPr>
            </w:pPr>
            <w:r w:rsidRPr="00496DF7">
              <w:rPr>
                <w:rFonts w:cstheme="minorHAnsi"/>
                <w:sz w:val="16"/>
                <w:szCs w:val="16"/>
              </w:rPr>
              <w:lastRenderedPageBreak/>
              <w:t>60</w:t>
            </w:r>
          </w:p>
        </w:tc>
        <w:tc>
          <w:tcPr>
            <w:tcW w:w="2683" w:type="dxa"/>
            <w:shd w:val="clear" w:color="auto" w:fill="auto"/>
            <w:noWrap/>
          </w:tcPr>
          <w:p w14:paraId="7324C051" w14:textId="77777777" w:rsidR="009B6B98" w:rsidRPr="00496DF7" w:rsidRDefault="009B6B98" w:rsidP="00565083">
            <w:pPr>
              <w:spacing w:after="200"/>
              <w:rPr>
                <w:rFonts w:cstheme="minorHAnsi"/>
                <w:sz w:val="16"/>
                <w:szCs w:val="16"/>
              </w:rPr>
            </w:pPr>
            <w:r w:rsidRPr="00496DF7">
              <w:rPr>
                <w:rFonts w:cstheme="minorHAnsi"/>
                <w:sz w:val="16"/>
                <w:szCs w:val="16"/>
              </w:rPr>
              <w:t>Mettre à jour régulièrement le registre en ligne des licences pétrolières et compléter les informations sur le statut, les dates de demande, les coordonnées, les substances ciblées et les détenteurs/exploitants.</w:t>
            </w:r>
          </w:p>
        </w:tc>
        <w:tc>
          <w:tcPr>
            <w:tcW w:w="1981" w:type="dxa"/>
            <w:gridSpan w:val="2"/>
            <w:shd w:val="clear" w:color="auto" w:fill="auto"/>
            <w:noWrap/>
          </w:tcPr>
          <w:p w14:paraId="63F2CE59"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recommandation stratégique – Transparence</w:t>
            </w:r>
          </w:p>
        </w:tc>
        <w:tc>
          <w:tcPr>
            <w:tcW w:w="946" w:type="dxa"/>
            <w:shd w:val="clear" w:color="auto" w:fill="auto"/>
            <w:noWrap/>
          </w:tcPr>
          <w:p w14:paraId="74E30DF6"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459B8A3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Hydrocarbures / SGH</w:t>
            </w:r>
          </w:p>
        </w:tc>
        <w:tc>
          <w:tcPr>
            <w:tcW w:w="1850" w:type="dxa"/>
            <w:gridSpan w:val="2"/>
            <w:shd w:val="clear" w:color="auto" w:fill="auto"/>
            <w:noWrap/>
          </w:tcPr>
          <w:p w14:paraId="7B11E632"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registre pétrolier et divulgation </w:t>
            </w:r>
            <w:proofErr w:type="gramStart"/>
            <w:r w:rsidRPr="00496DF7">
              <w:rPr>
                <w:rFonts w:cstheme="minorHAnsi"/>
                <w:sz w:val="16"/>
                <w:szCs w:val="16"/>
              </w:rPr>
              <w:t>systématique;</w:t>
            </w:r>
            <w:proofErr w:type="gramEnd"/>
            <w:r w:rsidRPr="00496DF7">
              <w:rPr>
                <w:rFonts w:cstheme="minorHAnsi"/>
                <w:sz w:val="16"/>
                <w:szCs w:val="16"/>
              </w:rPr>
              <w:t xml:space="preserve"> </w:t>
            </w:r>
          </w:p>
        </w:tc>
        <w:tc>
          <w:tcPr>
            <w:tcW w:w="2883" w:type="dxa"/>
            <w:gridSpan w:val="2"/>
          </w:tcPr>
          <w:p w14:paraId="78B90F49" w14:textId="77777777" w:rsidR="009B6B98" w:rsidRPr="00496DF7" w:rsidRDefault="009B6B98" w:rsidP="00565083">
            <w:pPr>
              <w:rPr>
                <w:rFonts w:cstheme="minorHAnsi"/>
                <w:sz w:val="16"/>
                <w:szCs w:val="16"/>
              </w:rPr>
            </w:pPr>
            <w:proofErr w:type="spellStart"/>
            <w:r w:rsidRPr="00496DF7">
              <w:rPr>
                <w:rFonts w:cstheme="minorHAnsi"/>
                <w:sz w:val="16"/>
                <w:szCs w:val="16"/>
              </w:rPr>
              <w:t>Realisé</w:t>
            </w:r>
            <w:proofErr w:type="spellEnd"/>
            <w:r w:rsidRPr="00496DF7">
              <w:rPr>
                <w:rFonts w:cstheme="minorHAnsi"/>
                <w:sz w:val="16"/>
                <w:szCs w:val="16"/>
              </w:rPr>
              <w:t xml:space="preserve"> </w:t>
            </w:r>
          </w:p>
          <w:p w14:paraId="6E8C5EED" w14:textId="77777777" w:rsidR="009B6B98" w:rsidRPr="00496DF7" w:rsidRDefault="009B6B98" w:rsidP="00565083">
            <w:pPr>
              <w:rPr>
                <w:rFonts w:cstheme="minorHAnsi"/>
                <w:color w:val="000000"/>
                <w:sz w:val="16"/>
                <w:szCs w:val="16"/>
                <w:lang w:eastAsia="en-GB"/>
              </w:rPr>
            </w:pPr>
            <w:r w:rsidRPr="00496DF7">
              <w:rPr>
                <w:rFonts w:cstheme="minorHAnsi"/>
                <w:color w:val="000000"/>
                <w:sz w:val="16"/>
                <w:szCs w:val="16"/>
                <w:lang w:eastAsia="en-GB"/>
              </w:rPr>
              <w:t>Cf. CAMI</w:t>
            </w:r>
          </w:p>
        </w:tc>
        <w:tc>
          <w:tcPr>
            <w:tcW w:w="2292" w:type="dxa"/>
            <w:gridSpan w:val="2"/>
            <w:shd w:val="clear" w:color="auto" w:fill="auto"/>
            <w:noWrap/>
          </w:tcPr>
          <w:p w14:paraId="1A228A3C" w14:textId="77777777" w:rsidR="009B6B98" w:rsidRPr="00496DF7" w:rsidRDefault="009B6B98" w:rsidP="00565083">
            <w:pPr>
              <w:rPr>
                <w:rFonts w:cstheme="minorHAnsi"/>
                <w:color w:val="000000"/>
                <w:sz w:val="16"/>
                <w:szCs w:val="16"/>
                <w:lang w:eastAsia="en-GB"/>
              </w:rPr>
            </w:pPr>
            <w:r w:rsidRPr="00496DF7">
              <w:rPr>
                <w:sz w:val="16"/>
                <w:szCs w:val="16"/>
              </w:rPr>
              <w:t>Exigence 2.3.</w:t>
            </w:r>
          </w:p>
        </w:tc>
      </w:tr>
      <w:tr w:rsidR="009B6B98" w:rsidRPr="00496DF7" w14:paraId="45DE10A2" w14:textId="77777777" w:rsidTr="00565083">
        <w:trPr>
          <w:trHeight w:val="315"/>
        </w:trPr>
        <w:tc>
          <w:tcPr>
            <w:tcW w:w="284" w:type="dxa"/>
            <w:shd w:val="clear" w:color="auto" w:fill="auto"/>
            <w:noWrap/>
          </w:tcPr>
          <w:p w14:paraId="2583F300"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61</w:t>
            </w:r>
          </w:p>
        </w:tc>
        <w:tc>
          <w:tcPr>
            <w:tcW w:w="2683" w:type="dxa"/>
            <w:shd w:val="clear" w:color="auto" w:fill="auto"/>
            <w:noWrap/>
          </w:tcPr>
          <w:p w14:paraId="520E0A36" w14:textId="77777777" w:rsidR="009B6B98" w:rsidRPr="00496DF7" w:rsidRDefault="009B6B98" w:rsidP="00565083">
            <w:pPr>
              <w:spacing w:after="200"/>
              <w:rPr>
                <w:rFonts w:cstheme="minorHAnsi"/>
                <w:sz w:val="16"/>
                <w:szCs w:val="16"/>
              </w:rPr>
            </w:pPr>
            <w:r w:rsidRPr="00496DF7">
              <w:rPr>
                <w:rFonts w:cstheme="minorHAnsi"/>
                <w:sz w:val="16"/>
                <w:szCs w:val="16"/>
              </w:rPr>
              <w:t>Rendre publics et régulièrement disponibles les états financiers audités des entreprises d’État et, à défaut, leurs principaux documents financiers.</w:t>
            </w:r>
          </w:p>
        </w:tc>
        <w:tc>
          <w:tcPr>
            <w:tcW w:w="1981" w:type="dxa"/>
            <w:gridSpan w:val="2"/>
            <w:shd w:val="clear" w:color="auto" w:fill="auto"/>
            <w:noWrap/>
          </w:tcPr>
          <w:p w14:paraId="7FAA90D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Validation RDC 2022, recommandation </w:t>
            </w:r>
            <w:proofErr w:type="gramStart"/>
            <w:r w:rsidRPr="00496DF7">
              <w:rPr>
                <w:rFonts w:cstheme="minorHAnsi"/>
                <w:sz w:val="16"/>
                <w:szCs w:val="16"/>
              </w:rPr>
              <w:t>stratégique;</w:t>
            </w:r>
            <w:proofErr w:type="gramEnd"/>
            <w:r w:rsidRPr="00496DF7">
              <w:rPr>
                <w:rFonts w:cstheme="minorHAnsi"/>
                <w:sz w:val="16"/>
                <w:szCs w:val="16"/>
              </w:rPr>
              <w:t xml:space="preserve"> Rapport ITIE-RDC 2022, </w:t>
            </w:r>
          </w:p>
        </w:tc>
        <w:tc>
          <w:tcPr>
            <w:tcW w:w="946" w:type="dxa"/>
            <w:shd w:val="clear" w:color="auto" w:fill="auto"/>
            <w:noWrap/>
          </w:tcPr>
          <w:p w14:paraId="4D8325B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3B4A3AA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du Portefeuille / Entreprises publiques / CSP</w:t>
            </w:r>
          </w:p>
        </w:tc>
        <w:tc>
          <w:tcPr>
            <w:tcW w:w="1850" w:type="dxa"/>
            <w:gridSpan w:val="2"/>
            <w:shd w:val="clear" w:color="auto" w:fill="auto"/>
            <w:noWrap/>
          </w:tcPr>
          <w:p w14:paraId="29B86DA9"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entreprises </w:t>
            </w:r>
            <w:proofErr w:type="gramStart"/>
            <w:r w:rsidRPr="00496DF7">
              <w:rPr>
                <w:rFonts w:cstheme="minorHAnsi"/>
                <w:sz w:val="16"/>
                <w:szCs w:val="16"/>
              </w:rPr>
              <w:t>d’État;</w:t>
            </w:r>
            <w:proofErr w:type="gramEnd"/>
            <w:r w:rsidRPr="00496DF7">
              <w:rPr>
                <w:rFonts w:cstheme="minorHAnsi"/>
                <w:sz w:val="16"/>
                <w:szCs w:val="16"/>
              </w:rPr>
              <w:t xml:space="preserve"> </w:t>
            </w:r>
          </w:p>
        </w:tc>
        <w:tc>
          <w:tcPr>
            <w:tcW w:w="2883" w:type="dxa"/>
            <w:gridSpan w:val="2"/>
          </w:tcPr>
          <w:p w14:paraId="2353BC32" w14:textId="77777777" w:rsidR="009B6B98" w:rsidRPr="00496DF7" w:rsidRDefault="009B6B98" w:rsidP="00565083">
            <w:pPr>
              <w:rPr>
                <w:rFonts w:cstheme="minorHAnsi"/>
                <w:color w:val="000000"/>
                <w:sz w:val="16"/>
                <w:szCs w:val="16"/>
                <w:lang w:eastAsia="en-GB"/>
              </w:rPr>
            </w:pPr>
            <w:proofErr w:type="spellStart"/>
            <w:r w:rsidRPr="00496DF7">
              <w:rPr>
                <w:rFonts w:cstheme="minorHAnsi"/>
                <w:sz w:val="16"/>
                <w:szCs w:val="16"/>
              </w:rPr>
              <w:t>Realisé</w:t>
            </w:r>
            <w:proofErr w:type="spellEnd"/>
            <w:r w:rsidRPr="00496DF7">
              <w:rPr>
                <w:rFonts w:cstheme="minorHAnsi"/>
                <w:sz w:val="16"/>
                <w:szCs w:val="16"/>
              </w:rPr>
              <w:t xml:space="preserve"> (certaines </w:t>
            </w:r>
            <w:proofErr w:type="gramStart"/>
            <w:r w:rsidRPr="00496DF7">
              <w:rPr>
                <w:rFonts w:cstheme="minorHAnsi"/>
                <w:sz w:val="16"/>
                <w:szCs w:val="16"/>
              </w:rPr>
              <w:t>EP )</w:t>
            </w:r>
            <w:proofErr w:type="gramEnd"/>
            <w:r w:rsidRPr="00496DF7">
              <w:rPr>
                <w:rFonts w:cstheme="minorHAnsi"/>
                <w:sz w:val="16"/>
                <w:szCs w:val="16"/>
              </w:rPr>
              <w:t xml:space="preserve"> les publient sur leurs sites</w:t>
            </w:r>
          </w:p>
        </w:tc>
        <w:tc>
          <w:tcPr>
            <w:tcW w:w="2292" w:type="dxa"/>
            <w:gridSpan w:val="2"/>
            <w:shd w:val="clear" w:color="auto" w:fill="auto"/>
            <w:noWrap/>
          </w:tcPr>
          <w:p w14:paraId="5E678ECC" w14:textId="77777777" w:rsidR="009B6B98" w:rsidRPr="00496DF7" w:rsidRDefault="009B6B98" w:rsidP="00565083">
            <w:pPr>
              <w:rPr>
                <w:rFonts w:cstheme="minorHAnsi"/>
                <w:color w:val="000000"/>
                <w:sz w:val="16"/>
                <w:szCs w:val="16"/>
                <w:lang w:eastAsia="en-GB"/>
              </w:rPr>
            </w:pPr>
            <w:r w:rsidRPr="00496DF7">
              <w:rPr>
                <w:sz w:val="16"/>
                <w:szCs w:val="16"/>
              </w:rPr>
              <w:t>Exigence 2.6.</w:t>
            </w:r>
          </w:p>
        </w:tc>
      </w:tr>
      <w:tr w:rsidR="009B6B98" w:rsidRPr="00496DF7" w14:paraId="0F48B199" w14:textId="77777777" w:rsidTr="00565083">
        <w:trPr>
          <w:trHeight w:val="315"/>
        </w:trPr>
        <w:tc>
          <w:tcPr>
            <w:tcW w:w="284" w:type="dxa"/>
            <w:shd w:val="clear" w:color="auto" w:fill="auto"/>
            <w:noWrap/>
          </w:tcPr>
          <w:p w14:paraId="7330FF99"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62</w:t>
            </w:r>
          </w:p>
        </w:tc>
        <w:tc>
          <w:tcPr>
            <w:tcW w:w="2683" w:type="dxa"/>
            <w:shd w:val="clear" w:color="auto" w:fill="auto"/>
            <w:noWrap/>
          </w:tcPr>
          <w:p w14:paraId="39CA8E3D" w14:textId="77777777" w:rsidR="009B6B98" w:rsidRPr="00496DF7" w:rsidRDefault="009B6B98" w:rsidP="00565083">
            <w:pPr>
              <w:spacing w:after="200"/>
              <w:rPr>
                <w:rFonts w:cstheme="minorHAnsi"/>
                <w:sz w:val="16"/>
                <w:szCs w:val="16"/>
              </w:rPr>
            </w:pPr>
            <w:r w:rsidRPr="00496DF7">
              <w:rPr>
                <w:rFonts w:cstheme="minorHAnsi"/>
                <w:sz w:val="16"/>
                <w:szCs w:val="16"/>
              </w:rPr>
              <w:t>Mettre en place un cadre de déclaration des paiements en nature et assurer leur divulgation dès l’entrée en production des projets concernés.</w:t>
            </w:r>
          </w:p>
        </w:tc>
        <w:tc>
          <w:tcPr>
            <w:tcW w:w="1981" w:type="dxa"/>
            <w:gridSpan w:val="2"/>
            <w:shd w:val="clear" w:color="auto" w:fill="auto"/>
            <w:noWrap/>
          </w:tcPr>
          <w:p w14:paraId="2ABF852A"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Validation RDC 2022, recommandation stratégique – Transparence</w:t>
            </w:r>
          </w:p>
        </w:tc>
        <w:tc>
          <w:tcPr>
            <w:tcW w:w="946" w:type="dxa"/>
            <w:shd w:val="clear" w:color="auto" w:fill="auto"/>
            <w:noWrap/>
          </w:tcPr>
          <w:p w14:paraId="10646F48"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780DDA85"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Finances / Ministère des Mines / Ministère des Hydrocarbures / entreprises d’État / CE ITIE-RDC</w:t>
            </w:r>
          </w:p>
        </w:tc>
        <w:tc>
          <w:tcPr>
            <w:tcW w:w="1850" w:type="dxa"/>
            <w:gridSpan w:val="2"/>
            <w:shd w:val="clear" w:color="auto" w:fill="auto"/>
            <w:noWrap/>
          </w:tcPr>
          <w:p w14:paraId="4685177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revenus en </w:t>
            </w:r>
            <w:proofErr w:type="gramStart"/>
            <w:r w:rsidRPr="00496DF7">
              <w:rPr>
                <w:rFonts w:cstheme="minorHAnsi"/>
                <w:sz w:val="16"/>
                <w:szCs w:val="16"/>
              </w:rPr>
              <w:t>nature;</w:t>
            </w:r>
            <w:proofErr w:type="gramEnd"/>
            <w:r w:rsidRPr="00496DF7">
              <w:rPr>
                <w:rFonts w:cstheme="minorHAnsi"/>
                <w:sz w:val="16"/>
                <w:szCs w:val="16"/>
              </w:rPr>
              <w:t xml:space="preserve"> </w:t>
            </w:r>
          </w:p>
        </w:tc>
        <w:tc>
          <w:tcPr>
            <w:tcW w:w="2883" w:type="dxa"/>
            <w:gridSpan w:val="2"/>
          </w:tcPr>
          <w:p w14:paraId="7AE18FC9"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En </w:t>
            </w:r>
            <w:proofErr w:type="gramStart"/>
            <w:r w:rsidRPr="00496DF7">
              <w:rPr>
                <w:rFonts w:cstheme="minorHAnsi"/>
                <w:sz w:val="16"/>
                <w:szCs w:val="16"/>
              </w:rPr>
              <w:t>cours?</w:t>
            </w:r>
            <w:proofErr w:type="gramEnd"/>
          </w:p>
        </w:tc>
        <w:tc>
          <w:tcPr>
            <w:tcW w:w="2292" w:type="dxa"/>
            <w:gridSpan w:val="2"/>
            <w:shd w:val="clear" w:color="auto" w:fill="auto"/>
            <w:noWrap/>
          </w:tcPr>
          <w:p w14:paraId="3A55F945" w14:textId="77777777" w:rsidR="009B6B98" w:rsidRPr="00496DF7" w:rsidRDefault="009B6B98" w:rsidP="00565083">
            <w:pPr>
              <w:rPr>
                <w:rFonts w:cstheme="minorHAnsi"/>
                <w:color w:val="000000"/>
                <w:sz w:val="16"/>
                <w:szCs w:val="16"/>
                <w:lang w:eastAsia="en-GB"/>
              </w:rPr>
            </w:pPr>
            <w:r w:rsidRPr="00496DF7">
              <w:rPr>
                <w:sz w:val="16"/>
                <w:szCs w:val="16"/>
              </w:rPr>
              <w:t>Exigence 4.2.</w:t>
            </w:r>
          </w:p>
        </w:tc>
      </w:tr>
      <w:tr w:rsidR="009B6B98" w:rsidRPr="00496DF7" w14:paraId="1B7CB42F" w14:textId="77777777" w:rsidTr="00565083">
        <w:trPr>
          <w:trHeight w:val="315"/>
        </w:trPr>
        <w:tc>
          <w:tcPr>
            <w:tcW w:w="284" w:type="dxa"/>
            <w:shd w:val="clear" w:color="auto" w:fill="auto"/>
            <w:noWrap/>
          </w:tcPr>
          <w:p w14:paraId="72D1F2C7"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63</w:t>
            </w:r>
          </w:p>
        </w:tc>
        <w:tc>
          <w:tcPr>
            <w:tcW w:w="2683" w:type="dxa"/>
            <w:shd w:val="clear" w:color="auto" w:fill="auto"/>
            <w:noWrap/>
          </w:tcPr>
          <w:p w14:paraId="7B5B9EF8" w14:textId="77777777" w:rsidR="009B6B98" w:rsidRPr="00496DF7" w:rsidRDefault="009B6B98" w:rsidP="00565083">
            <w:pPr>
              <w:spacing w:after="200"/>
              <w:rPr>
                <w:rFonts w:cstheme="minorHAnsi"/>
                <w:sz w:val="16"/>
                <w:szCs w:val="16"/>
              </w:rPr>
            </w:pPr>
            <w:r w:rsidRPr="00496DF7">
              <w:rPr>
                <w:rFonts w:cstheme="minorHAnsi"/>
                <w:sz w:val="16"/>
                <w:szCs w:val="16"/>
              </w:rPr>
              <w:t>Améliorer la divulgation des volumes et valeurs de production et d’exportation de pétrole et de gaz, y compris par entreprise et destination lorsque pertinent.</w:t>
            </w:r>
          </w:p>
        </w:tc>
        <w:tc>
          <w:tcPr>
            <w:tcW w:w="1981" w:type="dxa"/>
            <w:gridSpan w:val="2"/>
            <w:shd w:val="clear" w:color="auto" w:fill="auto"/>
            <w:noWrap/>
          </w:tcPr>
          <w:p w14:paraId="04EE98D8"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Validation RDC 2022, recommandation stratégique – </w:t>
            </w:r>
            <w:proofErr w:type="gramStart"/>
            <w:r w:rsidRPr="00496DF7">
              <w:rPr>
                <w:rFonts w:cstheme="minorHAnsi"/>
                <w:sz w:val="16"/>
                <w:szCs w:val="16"/>
              </w:rPr>
              <w:t>Transparence;</w:t>
            </w:r>
            <w:proofErr w:type="gramEnd"/>
            <w:r w:rsidRPr="00496DF7">
              <w:rPr>
                <w:rFonts w:cstheme="minorHAnsi"/>
                <w:sz w:val="16"/>
                <w:szCs w:val="16"/>
              </w:rPr>
              <w:t xml:space="preserve"> Rapport ITIE-RDC 2022, </w:t>
            </w:r>
          </w:p>
        </w:tc>
        <w:tc>
          <w:tcPr>
            <w:tcW w:w="946" w:type="dxa"/>
            <w:shd w:val="clear" w:color="auto" w:fill="auto"/>
            <w:noWrap/>
          </w:tcPr>
          <w:p w14:paraId="506A369D"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15BDFBF4"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Ministère des Hydrocarbures / SGH / BCC / DGDA</w:t>
            </w:r>
          </w:p>
        </w:tc>
        <w:tc>
          <w:tcPr>
            <w:tcW w:w="1850" w:type="dxa"/>
            <w:gridSpan w:val="2"/>
            <w:shd w:val="clear" w:color="auto" w:fill="auto"/>
            <w:noWrap/>
          </w:tcPr>
          <w:p w14:paraId="34778E17"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 xml:space="preserve">PTT 2024-2026 – production/exportations et données </w:t>
            </w:r>
            <w:proofErr w:type="gramStart"/>
            <w:r w:rsidRPr="00496DF7">
              <w:rPr>
                <w:rFonts w:cstheme="minorHAnsi"/>
                <w:sz w:val="16"/>
                <w:szCs w:val="16"/>
              </w:rPr>
              <w:t>ouvertes;</w:t>
            </w:r>
            <w:proofErr w:type="gramEnd"/>
            <w:r w:rsidRPr="00496DF7">
              <w:rPr>
                <w:rFonts w:cstheme="minorHAnsi"/>
                <w:sz w:val="16"/>
                <w:szCs w:val="16"/>
              </w:rPr>
              <w:t xml:space="preserve"> </w:t>
            </w:r>
          </w:p>
        </w:tc>
        <w:tc>
          <w:tcPr>
            <w:tcW w:w="2883" w:type="dxa"/>
            <w:gridSpan w:val="2"/>
          </w:tcPr>
          <w:p w14:paraId="6992E903" w14:textId="77777777" w:rsidR="009B6B98" w:rsidRPr="00496DF7" w:rsidRDefault="009B6B98" w:rsidP="00565083">
            <w:pPr>
              <w:rPr>
                <w:rFonts w:cstheme="minorHAnsi"/>
                <w:color w:val="000000"/>
                <w:sz w:val="16"/>
                <w:szCs w:val="16"/>
                <w:lang w:eastAsia="en-GB"/>
              </w:rPr>
            </w:pPr>
            <w:r w:rsidRPr="00496DF7">
              <w:rPr>
                <w:rFonts w:cstheme="minorHAnsi"/>
                <w:sz w:val="16"/>
                <w:szCs w:val="16"/>
              </w:rPr>
              <w:t>En cours</w:t>
            </w:r>
          </w:p>
        </w:tc>
        <w:tc>
          <w:tcPr>
            <w:tcW w:w="2292" w:type="dxa"/>
            <w:gridSpan w:val="2"/>
            <w:shd w:val="clear" w:color="auto" w:fill="auto"/>
            <w:noWrap/>
          </w:tcPr>
          <w:p w14:paraId="4401FE11" w14:textId="77777777" w:rsidR="009B6B98" w:rsidRPr="00496DF7" w:rsidRDefault="009B6B98" w:rsidP="00565083">
            <w:pPr>
              <w:rPr>
                <w:rFonts w:cstheme="minorHAnsi"/>
                <w:color w:val="000000"/>
                <w:sz w:val="16"/>
                <w:szCs w:val="16"/>
                <w:lang w:eastAsia="en-GB"/>
              </w:rPr>
            </w:pPr>
            <w:r w:rsidRPr="00496DF7">
              <w:rPr>
                <w:sz w:val="16"/>
                <w:szCs w:val="16"/>
              </w:rPr>
              <w:t>Exigences 3.2 et 3.3.</w:t>
            </w:r>
          </w:p>
        </w:tc>
      </w:tr>
      <w:tr w:rsidR="009B6B98" w:rsidRPr="00496DF7" w14:paraId="332F12A7" w14:textId="77777777" w:rsidTr="00565083">
        <w:trPr>
          <w:trHeight w:val="315"/>
        </w:trPr>
        <w:tc>
          <w:tcPr>
            <w:tcW w:w="284" w:type="dxa"/>
            <w:shd w:val="clear" w:color="auto" w:fill="auto"/>
            <w:noWrap/>
          </w:tcPr>
          <w:p w14:paraId="1A193908" w14:textId="77777777" w:rsidR="009B6B98" w:rsidRPr="00496DF7" w:rsidRDefault="009B6B98" w:rsidP="00565083">
            <w:pPr>
              <w:rPr>
                <w:rFonts w:cstheme="minorHAnsi"/>
                <w:sz w:val="16"/>
                <w:szCs w:val="16"/>
              </w:rPr>
            </w:pPr>
            <w:r w:rsidRPr="00496DF7">
              <w:rPr>
                <w:rFonts w:cstheme="minorHAnsi"/>
                <w:sz w:val="16"/>
                <w:szCs w:val="16"/>
              </w:rPr>
              <w:t>64</w:t>
            </w:r>
          </w:p>
        </w:tc>
        <w:tc>
          <w:tcPr>
            <w:tcW w:w="2683" w:type="dxa"/>
            <w:shd w:val="clear" w:color="auto" w:fill="auto"/>
            <w:noWrap/>
          </w:tcPr>
          <w:p w14:paraId="54ADA619" w14:textId="77777777" w:rsidR="009B6B98" w:rsidRPr="00496DF7" w:rsidRDefault="009B6B98" w:rsidP="00565083">
            <w:pPr>
              <w:spacing w:after="200"/>
              <w:rPr>
                <w:rFonts w:cstheme="minorHAnsi"/>
                <w:sz w:val="16"/>
                <w:szCs w:val="16"/>
              </w:rPr>
            </w:pPr>
            <w:r w:rsidRPr="00496DF7">
              <w:rPr>
                <w:rFonts w:cstheme="minorHAnsi"/>
                <w:sz w:val="16"/>
                <w:szCs w:val="16"/>
              </w:rPr>
              <w:t>Renseigner sur le site du CAMI les définitions de tous les statuts des titres miniers et examiner, ajuster et clarifier les incohérences du registre.</w:t>
            </w:r>
          </w:p>
        </w:tc>
        <w:tc>
          <w:tcPr>
            <w:tcW w:w="1981" w:type="dxa"/>
            <w:gridSpan w:val="2"/>
            <w:shd w:val="clear" w:color="auto" w:fill="auto"/>
            <w:noWrap/>
          </w:tcPr>
          <w:p w14:paraId="24C9DDC8" w14:textId="77777777" w:rsidR="009B6B98" w:rsidRPr="00496DF7" w:rsidRDefault="009B6B98" w:rsidP="00565083">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6F4E0D2E"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205CA183" w14:textId="77777777" w:rsidR="009B6B98" w:rsidRPr="00496DF7" w:rsidRDefault="009B6B98" w:rsidP="00565083">
            <w:pPr>
              <w:rPr>
                <w:rFonts w:cstheme="minorHAnsi"/>
                <w:sz w:val="16"/>
                <w:szCs w:val="16"/>
              </w:rPr>
            </w:pPr>
            <w:r w:rsidRPr="00496DF7">
              <w:rPr>
                <w:rFonts w:cstheme="minorHAnsi"/>
                <w:sz w:val="16"/>
                <w:szCs w:val="16"/>
              </w:rPr>
              <w:t>CAMI / Ministère des Mines / CTCPM</w:t>
            </w:r>
          </w:p>
        </w:tc>
        <w:tc>
          <w:tcPr>
            <w:tcW w:w="1850" w:type="dxa"/>
            <w:gridSpan w:val="2"/>
            <w:shd w:val="clear" w:color="auto" w:fill="auto"/>
            <w:noWrap/>
          </w:tcPr>
          <w:p w14:paraId="1CACE58D" w14:textId="77777777" w:rsidR="009B6B98" w:rsidRPr="00496DF7" w:rsidRDefault="009B6B98" w:rsidP="00565083">
            <w:pPr>
              <w:rPr>
                <w:rFonts w:cstheme="minorHAnsi"/>
                <w:sz w:val="16"/>
                <w:szCs w:val="16"/>
              </w:rPr>
            </w:pPr>
            <w:r w:rsidRPr="00496DF7">
              <w:rPr>
                <w:rFonts w:cstheme="minorHAnsi"/>
                <w:sz w:val="16"/>
                <w:szCs w:val="16"/>
              </w:rPr>
              <w:t xml:space="preserve">PTT 2024-2026 – assainissement et modernisation du registre </w:t>
            </w:r>
            <w:proofErr w:type="gramStart"/>
            <w:r w:rsidRPr="00496DF7">
              <w:rPr>
                <w:rFonts w:cstheme="minorHAnsi"/>
                <w:sz w:val="16"/>
                <w:szCs w:val="16"/>
              </w:rPr>
              <w:t>minier;</w:t>
            </w:r>
            <w:proofErr w:type="gramEnd"/>
            <w:r w:rsidRPr="00496DF7">
              <w:rPr>
                <w:rFonts w:cstheme="minorHAnsi"/>
                <w:sz w:val="16"/>
                <w:szCs w:val="16"/>
              </w:rPr>
              <w:t xml:space="preserve"> </w:t>
            </w:r>
          </w:p>
        </w:tc>
        <w:tc>
          <w:tcPr>
            <w:tcW w:w="2883" w:type="dxa"/>
            <w:gridSpan w:val="2"/>
          </w:tcPr>
          <w:p w14:paraId="2FEF0639"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7FCE94CA" w14:textId="77777777" w:rsidR="009B6B98" w:rsidRPr="00496DF7" w:rsidRDefault="009B6B98" w:rsidP="00565083">
            <w:pPr>
              <w:rPr>
                <w:sz w:val="16"/>
                <w:szCs w:val="16"/>
              </w:rPr>
            </w:pPr>
            <w:r w:rsidRPr="00496DF7">
              <w:rPr>
                <w:sz w:val="16"/>
                <w:szCs w:val="16"/>
              </w:rPr>
              <w:t>Exigence 2.3.</w:t>
            </w:r>
          </w:p>
        </w:tc>
      </w:tr>
      <w:tr w:rsidR="009B6B98" w:rsidRPr="00496DF7" w14:paraId="550306D0" w14:textId="77777777" w:rsidTr="00565083">
        <w:trPr>
          <w:trHeight w:val="315"/>
        </w:trPr>
        <w:tc>
          <w:tcPr>
            <w:tcW w:w="284" w:type="dxa"/>
            <w:shd w:val="clear" w:color="auto" w:fill="auto"/>
            <w:noWrap/>
          </w:tcPr>
          <w:p w14:paraId="2FEB6184" w14:textId="77777777" w:rsidR="009B6B98" w:rsidRPr="00496DF7" w:rsidRDefault="009B6B98" w:rsidP="00565083">
            <w:pPr>
              <w:rPr>
                <w:rFonts w:cstheme="minorHAnsi"/>
                <w:sz w:val="16"/>
                <w:szCs w:val="16"/>
              </w:rPr>
            </w:pPr>
            <w:r w:rsidRPr="00496DF7">
              <w:rPr>
                <w:rFonts w:cstheme="minorHAnsi"/>
                <w:sz w:val="16"/>
                <w:szCs w:val="16"/>
              </w:rPr>
              <w:t>65</w:t>
            </w:r>
          </w:p>
        </w:tc>
        <w:tc>
          <w:tcPr>
            <w:tcW w:w="2683" w:type="dxa"/>
            <w:shd w:val="clear" w:color="auto" w:fill="auto"/>
            <w:noWrap/>
          </w:tcPr>
          <w:p w14:paraId="7408DE6A" w14:textId="77777777" w:rsidR="009B6B98" w:rsidRPr="00496DF7" w:rsidRDefault="009B6B98" w:rsidP="00565083">
            <w:pPr>
              <w:spacing w:after="200"/>
              <w:rPr>
                <w:rFonts w:cstheme="minorHAnsi"/>
                <w:sz w:val="16"/>
                <w:szCs w:val="16"/>
              </w:rPr>
            </w:pPr>
            <w:r w:rsidRPr="00496DF7">
              <w:rPr>
                <w:rFonts w:cstheme="minorHAnsi"/>
                <w:sz w:val="16"/>
                <w:szCs w:val="16"/>
              </w:rPr>
              <w:t>Rendre opérationnelle et accessible en ligne la Banque Nationale des Données Géologiques et améliorer la publication des informations sur la prospection et l’exploration.</w:t>
            </w:r>
          </w:p>
        </w:tc>
        <w:tc>
          <w:tcPr>
            <w:tcW w:w="1981" w:type="dxa"/>
            <w:gridSpan w:val="2"/>
            <w:shd w:val="clear" w:color="auto" w:fill="auto"/>
            <w:noWrap/>
          </w:tcPr>
          <w:p w14:paraId="13498411" w14:textId="77777777" w:rsidR="009B6B98" w:rsidRPr="00496DF7" w:rsidRDefault="009B6B98" w:rsidP="00565083">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065C47E3" w14:textId="77777777" w:rsidR="009B6B98" w:rsidRPr="00496DF7" w:rsidRDefault="009B6B98" w:rsidP="00565083">
            <w:pPr>
              <w:rPr>
                <w:rFonts w:cstheme="minorHAnsi"/>
                <w:sz w:val="16"/>
                <w:szCs w:val="16"/>
              </w:rPr>
            </w:pPr>
            <w:r w:rsidRPr="00496DF7">
              <w:rPr>
                <w:rFonts w:cstheme="minorHAnsi"/>
                <w:sz w:val="16"/>
                <w:szCs w:val="16"/>
              </w:rPr>
              <w:t>Moyen</w:t>
            </w:r>
          </w:p>
        </w:tc>
        <w:tc>
          <w:tcPr>
            <w:tcW w:w="1930" w:type="dxa"/>
            <w:gridSpan w:val="3"/>
            <w:shd w:val="clear" w:color="auto" w:fill="auto"/>
            <w:noWrap/>
          </w:tcPr>
          <w:p w14:paraId="1D3E7C6D" w14:textId="77777777" w:rsidR="009B6B98" w:rsidRPr="00496DF7" w:rsidRDefault="009B6B98" w:rsidP="00565083">
            <w:pPr>
              <w:rPr>
                <w:rFonts w:cstheme="minorHAnsi"/>
                <w:sz w:val="16"/>
                <w:szCs w:val="16"/>
              </w:rPr>
            </w:pPr>
            <w:r w:rsidRPr="00496DF7">
              <w:rPr>
                <w:rFonts w:cstheme="minorHAnsi"/>
                <w:sz w:val="16"/>
                <w:szCs w:val="16"/>
              </w:rPr>
              <w:t>SGNC / CTCPM / Ministère des Mines / CE ITIE-RDC</w:t>
            </w:r>
          </w:p>
        </w:tc>
        <w:tc>
          <w:tcPr>
            <w:tcW w:w="1850" w:type="dxa"/>
            <w:gridSpan w:val="2"/>
            <w:shd w:val="clear" w:color="auto" w:fill="auto"/>
            <w:noWrap/>
          </w:tcPr>
          <w:p w14:paraId="0138147A" w14:textId="77777777" w:rsidR="009B6B98" w:rsidRPr="00496DF7" w:rsidRDefault="009B6B98" w:rsidP="00565083">
            <w:pPr>
              <w:rPr>
                <w:rFonts w:cstheme="minorHAnsi"/>
                <w:sz w:val="16"/>
                <w:szCs w:val="16"/>
              </w:rPr>
            </w:pPr>
            <w:r w:rsidRPr="00496DF7">
              <w:rPr>
                <w:rFonts w:cstheme="minorHAnsi"/>
                <w:sz w:val="16"/>
                <w:szCs w:val="16"/>
              </w:rPr>
              <w:t xml:space="preserve">PTT 2024-2026 – exploration et divulgation </w:t>
            </w:r>
            <w:proofErr w:type="gramStart"/>
            <w:r w:rsidRPr="00496DF7">
              <w:rPr>
                <w:rFonts w:cstheme="minorHAnsi"/>
                <w:sz w:val="16"/>
                <w:szCs w:val="16"/>
              </w:rPr>
              <w:t>systématique;</w:t>
            </w:r>
            <w:proofErr w:type="gramEnd"/>
            <w:r w:rsidRPr="00496DF7">
              <w:rPr>
                <w:rFonts w:cstheme="minorHAnsi"/>
                <w:sz w:val="16"/>
                <w:szCs w:val="16"/>
              </w:rPr>
              <w:t xml:space="preserve"> </w:t>
            </w:r>
          </w:p>
        </w:tc>
        <w:tc>
          <w:tcPr>
            <w:tcW w:w="2883" w:type="dxa"/>
            <w:gridSpan w:val="2"/>
          </w:tcPr>
          <w:p w14:paraId="5F764C9B"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5865D0AB" w14:textId="77777777" w:rsidR="009B6B98" w:rsidRPr="00496DF7" w:rsidRDefault="009B6B98" w:rsidP="00565083">
            <w:pPr>
              <w:rPr>
                <w:sz w:val="16"/>
                <w:szCs w:val="16"/>
              </w:rPr>
            </w:pPr>
            <w:r w:rsidRPr="00496DF7">
              <w:rPr>
                <w:sz w:val="16"/>
                <w:szCs w:val="16"/>
              </w:rPr>
              <w:t>Exigence 3.1.</w:t>
            </w:r>
          </w:p>
        </w:tc>
      </w:tr>
      <w:tr w:rsidR="009B6B98" w:rsidRPr="00496DF7" w14:paraId="4660644B" w14:textId="77777777" w:rsidTr="00565083">
        <w:trPr>
          <w:trHeight w:val="315"/>
        </w:trPr>
        <w:tc>
          <w:tcPr>
            <w:tcW w:w="284" w:type="dxa"/>
            <w:shd w:val="clear" w:color="auto" w:fill="auto"/>
            <w:noWrap/>
          </w:tcPr>
          <w:p w14:paraId="70293978" w14:textId="77777777" w:rsidR="009B6B98" w:rsidRPr="00496DF7" w:rsidRDefault="009B6B98" w:rsidP="00565083">
            <w:pPr>
              <w:rPr>
                <w:rFonts w:cstheme="minorHAnsi"/>
                <w:sz w:val="16"/>
                <w:szCs w:val="16"/>
              </w:rPr>
            </w:pPr>
            <w:r w:rsidRPr="00496DF7">
              <w:rPr>
                <w:rFonts w:cstheme="minorHAnsi"/>
                <w:sz w:val="16"/>
                <w:szCs w:val="16"/>
              </w:rPr>
              <w:t>66</w:t>
            </w:r>
          </w:p>
        </w:tc>
        <w:tc>
          <w:tcPr>
            <w:tcW w:w="2683" w:type="dxa"/>
            <w:shd w:val="clear" w:color="auto" w:fill="auto"/>
            <w:noWrap/>
          </w:tcPr>
          <w:p w14:paraId="788E9D9C" w14:textId="77777777" w:rsidR="009B6B98" w:rsidRPr="00496DF7" w:rsidRDefault="009B6B98" w:rsidP="00565083">
            <w:pPr>
              <w:spacing w:after="200"/>
              <w:rPr>
                <w:rFonts w:cstheme="minorHAnsi"/>
                <w:sz w:val="16"/>
                <w:szCs w:val="16"/>
              </w:rPr>
            </w:pPr>
            <w:r w:rsidRPr="00496DF7">
              <w:rPr>
                <w:rFonts w:cstheme="minorHAnsi"/>
                <w:sz w:val="16"/>
                <w:szCs w:val="16"/>
              </w:rPr>
              <w:t xml:space="preserve">Accélérer la mise en place de la plateforme CTCPM et assurer une désagrégation des statistiques minières par entreprise, minerai et </w:t>
            </w:r>
            <w:proofErr w:type="gramStart"/>
            <w:r w:rsidRPr="00496DF7">
              <w:rPr>
                <w:rFonts w:cstheme="minorHAnsi"/>
                <w:sz w:val="16"/>
                <w:szCs w:val="16"/>
              </w:rPr>
              <w:t>destination;</w:t>
            </w:r>
            <w:proofErr w:type="gramEnd"/>
            <w:r w:rsidRPr="00496DF7">
              <w:rPr>
                <w:rFonts w:cstheme="minorHAnsi"/>
                <w:sz w:val="16"/>
                <w:szCs w:val="16"/>
              </w:rPr>
              <w:t xml:space="preserve"> documenter les sources et méthodes de calcul.</w:t>
            </w:r>
          </w:p>
        </w:tc>
        <w:tc>
          <w:tcPr>
            <w:tcW w:w="1981" w:type="dxa"/>
            <w:gridSpan w:val="2"/>
            <w:shd w:val="clear" w:color="auto" w:fill="auto"/>
            <w:noWrap/>
          </w:tcPr>
          <w:p w14:paraId="124174F7" w14:textId="77777777" w:rsidR="009B6B98" w:rsidRPr="00496DF7" w:rsidRDefault="009B6B98" w:rsidP="00565083">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7430F4FB"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15332571" w14:textId="77777777" w:rsidR="009B6B98" w:rsidRPr="00496DF7" w:rsidRDefault="009B6B98" w:rsidP="00565083">
            <w:pPr>
              <w:rPr>
                <w:rFonts w:cstheme="minorHAnsi"/>
                <w:sz w:val="16"/>
                <w:szCs w:val="16"/>
              </w:rPr>
            </w:pPr>
            <w:r w:rsidRPr="00496DF7">
              <w:rPr>
                <w:rFonts w:cstheme="minorHAnsi"/>
                <w:sz w:val="16"/>
                <w:szCs w:val="16"/>
              </w:rPr>
              <w:t>CTCPM / DGDA / Ministère des Mines / ITIE-RDC</w:t>
            </w:r>
          </w:p>
        </w:tc>
        <w:tc>
          <w:tcPr>
            <w:tcW w:w="1850" w:type="dxa"/>
            <w:gridSpan w:val="2"/>
            <w:shd w:val="clear" w:color="auto" w:fill="auto"/>
            <w:noWrap/>
          </w:tcPr>
          <w:p w14:paraId="66301506" w14:textId="77777777" w:rsidR="009B6B98" w:rsidRPr="00496DF7" w:rsidRDefault="009B6B98" w:rsidP="00565083">
            <w:pPr>
              <w:rPr>
                <w:rFonts w:cstheme="minorHAnsi"/>
                <w:sz w:val="16"/>
                <w:szCs w:val="16"/>
              </w:rPr>
            </w:pPr>
            <w:r w:rsidRPr="00496DF7">
              <w:rPr>
                <w:rFonts w:cstheme="minorHAnsi"/>
                <w:sz w:val="16"/>
                <w:szCs w:val="16"/>
              </w:rPr>
              <w:t xml:space="preserve">PTT 2024-2026 – données de production et </w:t>
            </w:r>
            <w:proofErr w:type="gramStart"/>
            <w:r w:rsidRPr="00496DF7">
              <w:rPr>
                <w:rFonts w:cstheme="minorHAnsi"/>
                <w:sz w:val="16"/>
                <w:szCs w:val="16"/>
              </w:rPr>
              <w:t>exportation;</w:t>
            </w:r>
            <w:proofErr w:type="gramEnd"/>
            <w:r w:rsidRPr="00496DF7">
              <w:rPr>
                <w:rFonts w:cstheme="minorHAnsi"/>
                <w:sz w:val="16"/>
                <w:szCs w:val="16"/>
              </w:rPr>
              <w:t xml:space="preserve"> </w:t>
            </w:r>
          </w:p>
        </w:tc>
        <w:tc>
          <w:tcPr>
            <w:tcW w:w="2883" w:type="dxa"/>
            <w:gridSpan w:val="2"/>
          </w:tcPr>
          <w:p w14:paraId="5DA37120" w14:textId="77777777" w:rsidR="009B6B98" w:rsidRPr="00496DF7" w:rsidRDefault="009B6B98" w:rsidP="00565083">
            <w:pPr>
              <w:rPr>
                <w:rFonts w:cstheme="minorHAnsi"/>
                <w:sz w:val="16"/>
                <w:szCs w:val="16"/>
              </w:rPr>
            </w:pPr>
            <w:proofErr w:type="spellStart"/>
            <w:r w:rsidRPr="00496DF7">
              <w:rPr>
                <w:rFonts w:cstheme="minorHAnsi"/>
                <w:sz w:val="16"/>
                <w:szCs w:val="16"/>
              </w:rPr>
              <w:t>Realisé</w:t>
            </w:r>
            <w:proofErr w:type="spellEnd"/>
          </w:p>
          <w:p w14:paraId="6237D2AE" w14:textId="77777777" w:rsidR="009B6B98" w:rsidRPr="00496DF7" w:rsidRDefault="009B6B98" w:rsidP="00565083">
            <w:pPr>
              <w:rPr>
                <w:rFonts w:cstheme="minorHAnsi"/>
                <w:sz w:val="16"/>
                <w:szCs w:val="16"/>
              </w:rPr>
            </w:pPr>
            <w:r w:rsidRPr="00496DF7">
              <w:rPr>
                <w:rFonts w:cstheme="minorHAnsi"/>
                <w:sz w:val="16"/>
                <w:szCs w:val="16"/>
              </w:rPr>
              <w:t xml:space="preserve">Cf. data </w:t>
            </w:r>
            <w:proofErr w:type="spellStart"/>
            <w:r w:rsidRPr="00496DF7">
              <w:rPr>
                <w:rFonts w:cstheme="minorHAnsi"/>
                <w:sz w:val="16"/>
                <w:szCs w:val="16"/>
              </w:rPr>
              <w:t>warehouse</w:t>
            </w:r>
            <w:proofErr w:type="spellEnd"/>
          </w:p>
        </w:tc>
        <w:tc>
          <w:tcPr>
            <w:tcW w:w="2292" w:type="dxa"/>
            <w:gridSpan w:val="2"/>
            <w:shd w:val="clear" w:color="auto" w:fill="auto"/>
            <w:noWrap/>
          </w:tcPr>
          <w:p w14:paraId="129A594C" w14:textId="77777777" w:rsidR="009B6B98" w:rsidRPr="00496DF7" w:rsidRDefault="009B6B98" w:rsidP="00565083">
            <w:pPr>
              <w:rPr>
                <w:sz w:val="16"/>
                <w:szCs w:val="16"/>
              </w:rPr>
            </w:pPr>
            <w:r w:rsidRPr="00496DF7">
              <w:rPr>
                <w:sz w:val="16"/>
                <w:szCs w:val="16"/>
              </w:rPr>
              <w:t>Exigences 3.2 et 3.3.</w:t>
            </w:r>
          </w:p>
        </w:tc>
      </w:tr>
      <w:tr w:rsidR="009B6B98" w:rsidRPr="00496DF7" w14:paraId="509BDA21" w14:textId="77777777" w:rsidTr="00565083">
        <w:trPr>
          <w:trHeight w:val="315"/>
        </w:trPr>
        <w:tc>
          <w:tcPr>
            <w:tcW w:w="284" w:type="dxa"/>
            <w:shd w:val="clear" w:color="auto" w:fill="auto"/>
            <w:noWrap/>
          </w:tcPr>
          <w:p w14:paraId="7AF4671C" w14:textId="77777777" w:rsidR="009B6B98" w:rsidRPr="00496DF7" w:rsidRDefault="009B6B98" w:rsidP="00565083">
            <w:pPr>
              <w:rPr>
                <w:rFonts w:cstheme="minorHAnsi"/>
                <w:sz w:val="16"/>
                <w:szCs w:val="16"/>
              </w:rPr>
            </w:pPr>
            <w:r w:rsidRPr="00496DF7">
              <w:rPr>
                <w:rFonts w:cstheme="minorHAnsi"/>
                <w:sz w:val="16"/>
                <w:szCs w:val="16"/>
              </w:rPr>
              <w:t>67</w:t>
            </w:r>
          </w:p>
        </w:tc>
        <w:tc>
          <w:tcPr>
            <w:tcW w:w="2683" w:type="dxa"/>
            <w:shd w:val="clear" w:color="auto" w:fill="auto"/>
            <w:noWrap/>
          </w:tcPr>
          <w:p w14:paraId="0D24A386" w14:textId="77777777" w:rsidR="009B6B98" w:rsidRPr="00496DF7" w:rsidRDefault="009B6B98" w:rsidP="00565083">
            <w:pPr>
              <w:spacing w:after="200"/>
              <w:rPr>
                <w:rFonts w:cstheme="minorHAnsi"/>
                <w:sz w:val="16"/>
                <w:szCs w:val="16"/>
              </w:rPr>
            </w:pPr>
            <w:r w:rsidRPr="00496DF7">
              <w:rPr>
                <w:rFonts w:cstheme="minorHAnsi"/>
                <w:sz w:val="16"/>
                <w:szCs w:val="16"/>
              </w:rPr>
              <w:t xml:space="preserve">Améliorer les mécanismes de collecte, validation et conciliation de la plateforme TSL et renforcer les capacités des utilisateurs afin de </w:t>
            </w:r>
            <w:r w:rsidRPr="00496DF7">
              <w:rPr>
                <w:rFonts w:cstheme="minorHAnsi"/>
                <w:sz w:val="16"/>
                <w:szCs w:val="16"/>
              </w:rPr>
              <w:lastRenderedPageBreak/>
              <w:t>réduire omissions, erreurs et doublons.</w:t>
            </w:r>
          </w:p>
        </w:tc>
        <w:tc>
          <w:tcPr>
            <w:tcW w:w="1981" w:type="dxa"/>
            <w:gridSpan w:val="2"/>
            <w:shd w:val="clear" w:color="auto" w:fill="auto"/>
            <w:noWrap/>
          </w:tcPr>
          <w:p w14:paraId="51A1F304" w14:textId="77777777" w:rsidR="009B6B98" w:rsidRPr="00496DF7" w:rsidRDefault="009B6B98" w:rsidP="00565083">
            <w:pPr>
              <w:rPr>
                <w:rFonts w:cstheme="minorHAnsi"/>
                <w:sz w:val="16"/>
                <w:szCs w:val="16"/>
              </w:rPr>
            </w:pPr>
            <w:r w:rsidRPr="00496DF7">
              <w:rPr>
                <w:rFonts w:cstheme="minorHAnsi"/>
                <w:sz w:val="16"/>
                <w:szCs w:val="16"/>
              </w:rPr>
              <w:lastRenderedPageBreak/>
              <w:t xml:space="preserve">Rapport ITIE-RDC 2022, </w:t>
            </w:r>
          </w:p>
        </w:tc>
        <w:tc>
          <w:tcPr>
            <w:tcW w:w="946" w:type="dxa"/>
            <w:shd w:val="clear" w:color="auto" w:fill="auto"/>
            <w:noWrap/>
          </w:tcPr>
          <w:p w14:paraId="4CF4C827"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65AF68FE" w14:textId="77777777" w:rsidR="009B6B98" w:rsidRPr="00496DF7" w:rsidRDefault="009B6B98" w:rsidP="00565083">
            <w:pPr>
              <w:rPr>
                <w:rFonts w:cstheme="minorHAnsi"/>
                <w:sz w:val="16"/>
                <w:szCs w:val="16"/>
              </w:rPr>
            </w:pPr>
            <w:r w:rsidRPr="00496DF7">
              <w:rPr>
                <w:rFonts w:cstheme="minorHAnsi"/>
                <w:sz w:val="16"/>
                <w:szCs w:val="16"/>
              </w:rPr>
              <w:t>ST ITIE-RDC / entités déclarantes / prestataire TSL</w:t>
            </w:r>
          </w:p>
        </w:tc>
        <w:tc>
          <w:tcPr>
            <w:tcW w:w="1850" w:type="dxa"/>
            <w:gridSpan w:val="2"/>
            <w:shd w:val="clear" w:color="auto" w:fill="auto"/>
            <w:noWrap/>
          </w:tcPr>
          <w:p w14:paraId="155BB689" w14:textId="77777777" w:rsidR="009B6B98" w:rsidRPr="00496DF7" w:rsidRDefault="009B6B98" w:rsidP="00565083">
            <w:pPr>
              <w:rPr>
                <w:rFonts w:cstheme="minorHAnsi"/>
                <w:sz w:val="16"/>
                <w:szCs w:val="16"/>
              </w:rPr>
            </w:pPr>
            <w:r w:rsidRPr="00496DF7">
              <w:rPr>
                <w:rFonts w:cstheme="minorHAnsi"/>
                <w:sz w:val="16"/>
                <w:szCs w:val="16"/>
              </w:rPr>
              <w:t xml:space="preserve">PTT 2024-2026 – fiabilité des données et divulgation </w:t>
            </w:r>
            <w:proofErr w:type="gramStart"/>
            <w:r w:rsidRPr="00496DF7">
              <w:rPr>
                <w:rFonts w:cstheme="minorHAnsi"/>
                <w:sz w:val="16"/>
                <w:szCs w:val="16"/>
              </w:rPr>
              <w:t>systématique;</w:t>
            </w:r>
            <w:proofErr w:type="gramEnd"/>
            <w:r w:rsidRPr="00496DF7">
              <w:rPr>
                <w:rFonts w:cstheme="minorHAnsi"/>
                <w:sz w:val="16"/>
                <w:szCs w:val="16"/>
              </w:rPr>
              <w:t xml:space="preserve"> </w:t>
            </w:r>
          </w:p>
        </w:tc>
        <w:tc>
          <w:tcPr>
            <w:tcW w:w="2883" w:type="dxa"/>
            <w:gridSpan w:val="2"/>
          </w:tcPr>
          <w:p w14:paraId="7A766C93"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2C303632" w14:textId="77777777" w:rsidR="009B6B98" w:rsidRPr="00496DF7" w:rsidRDefault="009B6B98" w:rsidP="00565083">
            <w:pPr>
              <w:rPr>
                <w:sz w:val="16"/>
                <w:szCs w:val="16"/>
              </w:rPr>
            </w:pPr>
            <w:r w:rsidRPr="00496DF7">
              <w:rPr>
                <w:sz w:val="16"/>
                <w:szCs w:val="16"/>
              </w:rPr>
              <w:t>Exigences 4.1 et 4.9.</w:t>
            </w:r>
          </w:p>
        </w:tc>
      </w:tr>
      <w:tr w:rsidR="009B6B98" w:rsidRPr="00496DF7" w14:paraId="4B8B4655" w14:textId="77777777" w:rsidTr="00565083">
        <w:trPr>
          <w:trHeight w:val="315"/>
        </w:trPr>
        <w:tc>
          <w:tcPr>
            <w:tcW w:w="284" w:type="dxa"/>
            <w:shd w:val="clear" w:color="auto" w:fill="auto"/>
            <w:noWrap/>
          </w:tcPr>
          <w:p w14:paraId="060C0626" w14:textId="77777777" w:rsidR="009B6B98" w:rsidRPr="00496DF7" w:rsidRDefault="009B6B98" w:rsidP="00565083">
            <w:pPr>
              <w:rPr>
                <w:rFonts w:cstheme="minorHAnsi"/>
                <w:sz w:val="16"/>
                <w:szCs w:val="16"/>
              </w:rPr>
            </w:pPr>
            <w:r w:rsidRPr="00496DF7">
              <w:rPr>
                <w:rFonts w:cstheme="minorHAnsi"/>
                <w:sz w:val="16"/>
                <w:szCs w:val="16"/>
              </w:rPr>
              <w:t>68</w:t>
            </w:r>
          </w:p>
        </w:tc>
        <w:tc>
          <w:tcPr>
            <w:tcW w:w="2683" w:type="dxa"/>
            <w:shd w:val="clear" w:color="auto" w:fill="auto"/>
            <w:noWrap/>
          </w:tcPr>
          <w:p w14:paraId="16549156" w14:textId="77777777" w:rsidR="009B6B98" w:rsidRPr="00496DF7" w:rsidRDefault="009B6B98" w:rsidP="00565083">
            <w:pPr>
              <w:spacing w:after="200"/>
              <w:rPr>
                <w:rFonts w:cstheme="minorHAnsi"/>
                <w:sz w:val="16"/>
                <w:szCs w:val="16"/>
              </w:rPr>
            </w:pPr>
            <w:r w:rsidRPr="00496DF7">
              <w:rPr>
                <w:rFonts w:cstheme="minorHAnsi"/>
                <w:sz w:val="16"/>
                <w:szCs w:val="16"/>
              </w:rPr>
              <w:t>Encourager les entreprises extractives à publier leurs émissions de gaz à effet de serre de manière désagrégée et suivre la mise à jour de l’inventaire national des GES.</w:t>
            </w:r>
          </w:p>
        </w:tc>
        <w:tc>
          <w:tcPr>
            <w:tcW w:w="1981" w:type="dxa"/>
            <w:gridSpan w:val="2"/>
            <w:shd w:val="clear" w:color="auto" w:fill="auto"/>
            <w:noWrap/>
          </w:tcPr>
          <w:p w14:paraId="45584631" w14:textId="77777777" w:rsidR="009B6B98" w:rsidRPr="00496DF7" w:rsidRDefault="009B6B98" w:rsidP="00565083">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6689973F" w14:textId="77777777" w:rsidR="009B6B98" w:rsidRPr="00496DF7" w:rsidRDefault="009B6B98" w:rsidP="00565083">
            <w:pPr>
              <w:rPr>
                <w:rFonts w:cstheme="minorHAnsi"/>
                <w:sz w:val="16"/>
                <w:szCs w:val="16"/>
              </w:rPr>
            </w:pPr>
            <w:r w:rsidRPr="00496DF7">
              <w:rPr>
                <w:rFonts w:cstheme="minorHAnsi"/>
                <w:sz w:val="16"/>
                <w:szCs w:val="16"/>
              </w:rPr>
              <w:t>Moyen</w:t>
            </w:r>
          </w:p>
        </w:tc>
        <w:tc>
          <w:tcPr>
            <w:tcW w:w="1930" w:type="dxa"/>
            <w:gridSpan w:val="3"/>
            <w:shd w:val="clear" w:color="auto" w:fill="auto"/>
            <w:noWrap/>
          </w:tcPr>
          <w:p w14:paraId="477C36BC" w14:textId="77777777" w:rsidR="009B6B98" w:rsidRPr="00496DF7" w:rsidRDefault="009B6B98" w:rsidP="00565083">
            <w:pPr>
              <w:rPr>
                <w:rFonts w:cstheme="minorHAnsi"/>
                <w:sz w:val="16"/>
                <w:szCs w:val="16"/>
              </w:rPr>
            </w:pPr>
            <w:r w:rsidRPr="00496DF7">
              <w:rPr>
                <w:rFonts w:cstheme="minorHAnsi"/>
                <w:sz w:val="16"/>
                <w:szCs w:val="16"/>
              </w:rPr>
              <w:t>Ministère de l’Environnement / ACE / entreprises extractives / CE ITIE-RDC</w:t>
            </w:r>
          </w:p>
        </w:tc>
        <w:tc>
          <w:tcPr>
            <w:tcW w:w="1850" w:type="dxa"/>
            <w:gridSpan w:val="2"/>
            <w:shd w:val="clear" w:color="auto" w:fill="auto"/>
            <w:noWrap/>
          </w:tcPr>
          <w:p w14:paraId="034CA4E4" w14:textId="77777777" w:rsidR="009B6B98" w:rsidRPr="00496DF7" w:rsidRDefault="009B6B98" w:rsidP="00565083">
            <w:pPr>
              <w:rPr>
                <w:rFonts w:cstheme="minorHAnsi"/>
                <w:sz w:val="16"/>
                <w:szCs w:val="16"/>
              </w:rPr>
            </w:pPr>
            <w:r w:rsidRPr="00496DF7">
              <w:rPr>
                <w:rFonts w:cstheme="minorHAnsi"/>
                <w:sz w:val="16"/>
                <w:szCs w:val="16"/>
              </w:rPr>
              <w:t xml:space="preserve">PTT 2024-2026 – environnement et divulgations </w:t>
            </w:r>
            <w:proofErr w:type="gramStart"/>
            <w:r w:rsidRPr="00496DF7">
              <w:rPr>
                <w:rFonts w:cstheme="minorHAnsi"/>
                <w:sz w:val="16"/>
                <w:szCs w:val="16"/>
              </w:rPr>
              <w:t>climatiques;</w:t>
            </w:r>
            <w:proofErr w:type="gramEnd"/>
            <w:r w:rsidRPr="00496DF7">
              <w:rPr>
                <w:rFonts w:cstheme="minorHAnsi"/>
                <w:sz w:val="16"/>
                <w:szCs w:val="16"/>
              </w:rPr>
              <w:t xml:space="preserve"> </w:t>
            </w:r>
          </w:p>
        </w:tc>
        <w:tc>
          <w:tcPr>
            <w:tcW w:w="2883" w:type="dxa"/>
            <w:gridSpan w:val="2"/>
          </w:tcPr>
          <w:p w14:paraId="2E5E6318" w14:textId="77777777" w:rsidR="009B6B98" w:rsidRPr="00496DF7" w:rsidRDefault="009B6B98" w:rsidP="00565083">
            <w:pPr>
              <w:rPr>
                <w:rFonts w:cstheme="minorHAnsi"/>
                <w:sz w:val="16"/>
                <w:szCs w:val="16"/>
              </w:rPr>
            </w:pPr>
            <w:r w:rsidRPr="00496DF7">
              <w:rPr>
                <w:rFonts w:cstheme="minorHAnsi"/>
                <w:sz w:val="16"/>
                <w:szCs w:val="16"/>
              </w:rPr>
              <w:t xml:space="preserve">En </w:t>
            </w:r>
            <w:proofErr w:type="gramStart"/>
            <w:r w:rsidRPr="00496DF7">
              <w:rPr>
                <w:rFonts w:cstheme="minorHAnsi"/>
                <w:sz w:val="16"/>
                <w:szCs w:val="16"/>
              </w:rPr>
              <w:t>cours( réalisé</w:t>
            </w:r>
            <w:proofErr w:type="gramEnd"/>
            <w:r w:rsidRPr="00496DF7">
              <w:rPr>
                <w:rFonts w:cstheme="minorHAnsi"/>
                <w:sz w:val="16"/>
                <w:szCs w:val="16"/>
              </w:rPr>
              <w:t xml:space="preserve"> partiellement) </w:t>
            </w:r>
          </w:p>
          <w:p w14:paraId="760C6643" w14:textId="77777777" w:rsidR="009B6B98" w:rsidRPr="00496DF7" w:rsidRDefault="009B6B98" w:rsidP="00565083">
            <w:pPr>
              <w:rPr>
                <w:rFonts w:cstheme="minorHAnsi"/>
                <w:sz w:val="16"/>
                <w:szCs w:val="16"/>
              </w:rPr>
            </w:pPr>
          </w:p>
        </w:tc>
        <w:tc>
          <w:tcPr>
            <w:tcW w:w="2292" w:type="dxa"/>
            <w:gridSpan w:val="2"/>
            <w:shd w:val="clear" w:color="auto" w:fill="auto"/>
            <w:noWrap/>
          </w:tcPr>
          <w:p w14:paraId="54BC0150" w14:textId="77777777" w:rsidR="009B6B98" w:rsidRPr="00496DF7" w:rsidRDefault="009B6B98" w:rsidP="00565083">
            <w:pPr>
              <w:rPr>
                <w:sz w:val="16"/>
                <w:szCs w:val="16"/>
              </w:rPr>
            </w:pPr>
            <w:r w:rsidRPr="00496DF7">
              <w:rPr>
                <w:sz w:val="16"/>
                <w:szCs w:val="16"/>
              </w:rPr>
              <w:t>Exigence 3.4.</w:t>
            </w:r>
          </w:p>
        </w:tc>
      </w:tr>
      <w:tr w:rsidR="009B6B98" w:rsidRPr="00496DF7" w14:paraId="44511129" w14:textId="77777777" w:rsidTr="00565083">
        <w:trPr>
          <w:trHeight w:val="315"/>
        </w:trPr>
        <w:tc>
          <w:tcPr>
            <w:tcW w:w="284" w:type="dxa"/>
            <w:shd w:val="clear" w:color="auto" w:fill="auto"/>
            <w:noWrap/>
          </w:tcPr>
          <w:p w14:paraId="391616C7" w14:textId="77777777" w:rsidR="009B6B98" w:rsidRPr="00496DF7" w:rsidRDefault="009B6B98" w:rsidP="00565083">
            <w:pPr>
              <w:rPr>
                <w:rFonts w:cstheme="minorHAnsi"/>
                <w:sz w:val="16"/>
                <w:szCs w:val="16"/>
              </w:rPr>
            </w:pPr>
            <w:r w:rsidRPr="00496DF7">
              <w:rPr>
                <w:rFonts w:cstheme="minorHAnsi"/>
                <w:sz w:val="16"/>
                <w:szCs w:val="16"/>
              </w:rPr>
              <w:t>69</w:t>
            </w:r>
          </w:p>
        </w:tc>
        <w:tc>
          <w:tcPr>
            <w:tcW w:w="2683" w:type="dxa"/>
            <w:shd w:val="clear" w:color="auto" w:fill="auto"/>
            <w:noWrap/>
          </w:tcPr>
          <w:p w14:paraId="1F74995A" w14:textId="77777777" w:rsidR="009B6B98" w:rsidRPr="00496DF7" w:rsidRDefault="009B6B98" w:rsidP="00565083">
            <w:pPr>
              <w:spacing w:after="200"/>
              <w:rPr>
                <w:rFonts w:cstheme="minorHAnsi"/>
                <w:sz w:val="16"/>
                <w:szCs w:val="16"/>
              </w:rPr>
            </w:pPr>
            <w:r w:rsidRPr="00496DF7">
              <w:rPr>
                <w:rFonts w:cstheme="minorHAnsi"/>
                <w:sz w:val="16"/>
                <w:szCs w:val="16"/>
              </w:rPr>
              <w:t>Renforcer la traçabilité de la production et des exportations de l’EMAPE 3T et or, formaliser les acteurs et mettre en place des cadres de dialogue entre parties prenantes, entreprises publiques et exploitants artisanaux.</w:t>
            </w:r>
          </w:p>
        </w:tc>
        <w:tc>
          <w:tcPr>
            <w:tcW w:w="1981" w:type="dxa"/>
            <w:gridSpan w:val="2"/>
            <w:shd w:val="clear" w:color="auto" w:fill="auto"/>
            <w:noWrap/>
          </w:tcPr>
          <w:p w14:paraId="572BC8FE" w14:textId="77777777" w:rsidR="009B6B98" w:rsidRPr="00496DF7" w:rsidRDefault="009B6B98" w:rsidP="00565083">
            <w:pPr>
              <w:rPr>
                <w:rFonts w:cstheme="minorHAnsi"/>
                <w:sz w:val="16"/>
                <w:szCs w:val="16"/>
              </w:rPr>
            </w:pPr>
            <w:r w:rsidRPr="00496DF7">
              <w:rPr>
                <w:rFonts w:cstheme="minorHAnsi"/>
                <w:sz w:val="16"/>
                <w:szCs w:val="16"/>
              </w:rPr>
              <w:t>Rapport ITIE-RDC – EMAPE 3T &amp; Or, 2023</w:t>
            </w:r>
          </w:p>
        </w:tc>
        <w:tc>
          <w:tcPr>
            <w:tcW w:w="946" w:type="dxa"/>
            <w:shd w:val="clear" w:color="auto" w:fill="auto"/>
            <w:noWrap/>
          </w:tcPr>
          <w:p w14:paraId="45CA9410"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079EF0D9" w14:textId="77777777" w:rsidR="009B6B98" w:rsidRPr="00496DF7" w:rsidRDefault="009B6B98" w:rsidP="00565083">
            <w:pPr>
              <w:rPr>
                <w:rFonts w:cstheme="minorHAnsi"/>
                <w:sz w:val="16"/>
                <w:szCs w:val="16"/>
              </w:rPr>
            </w:pPr>
            <w:r w:rsidRPr="00496DF7">
              <w:rPr>
                <w:rFonts w:cstheme="minorHAnsi"/>
                <w:sz w:val="16"/>
                <w:szCs w:val="16"/>
              </w:rPr>
              <w:t>SAEMAPE / Ministère des Mines / CEEC / provinces / CE ITIE-RDC</w:t>
            </w:r>
          </w:p>
        </w:tc>
        <w:tc>
          <w:tcPr>
            <w:tcW w:w="1850" w:type="dxa"/>
            <w:gridSpan w:val="2"/>
            <w:shd w:val="clear" w:color="auto" w:fill="auto"/>
            <w:noWrap/>
          </w:tcPr>
          <w:p w14:paraId="778A6FCC" w14:textId="77777777" w:rsidR="009B6B98" w:rsidRPr="00496DF7" w:rsidRDefault="009B6B98" w:rsidP="00565083">
            <w:pPr>
              <w:rPr>
                <w:rFonts w:cstheme="minorHAnsi"/>
                <w:sz w:val="16"/>
                <w:szCs w:val="16"/>
              </w:rPr>
            </w:pPr>
            <w:r w:rsidRPr="00496DF7">
              <w:rPr>
                <w:rFonts w:cstheme="minorHAnsi"/>
                <w:sz w:val="16"/>
                <w:szCs w:val="16"/>
              </w:rPr>
              <w:t xml:space="preserve">PTT 2024-2026 – EMAPE et </w:t>
            </w:r>
            <w:proofErr w:type="gramStart"/>
            <w:r w:rsidRPr="00496DF7">
              <w:rPr>
                <w:rFonts w:cstheme="minorHAnsi"/>
                <w:sz w:val="16"/>
                <w:szCs w:val="16"/>
              </w:rPr>
              <w:t>formalisation;</w:t>
            </w:r>
            <w:proofErr w:type="gramEnd"/>
            <w:r w:rsidRPr="00496DF7">
              <w:rPr>
                <w:rFonts w:cstheme="minorHAnsi"/>
                <w:sz w:val="16"/>
                <w:szCs w:val="16"/>
              </w:rPr>
              <w:t xml:space="preserve"> </w:t>
            </w:r>
          </w:p>
        </w:tc>
        <w:tc>
          <w:tcPr>
            <w:tcW w:w="2883" w:type="dxa"/>
            <w:gridSpan w:val="2"/>
          </w:tcPr>
          <w:p w14:paraId="14EFE371"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51F5231E" w14:textId="77777777" w:rsidR="009B6B98" w:rsidRPr="00496DF7" w:rsidRDefault="009B6B98" w:rsidP="00565083">
            <w:pPr>
              <w:rPr>
                <w:sz w:val="16"/>
                <w:szCs w:val="16"/>
              </w:rPr>
            </w:pPr>
            <w:r w:rsidRPr="00496DF7">
              <w:rPr>
                <w:sz w:val="16"/>
                <w:szCs w:val="16"/>
              </w:rPr>
              <w:t>Données de production, exportation et flux financiers disponibles.</w:t>
            </w:r>
          </w:p>
        </w:tc>
      </w:tr>
      <w:tr w:rsidR="009B6B98" w:rsidRPr="00496DF7" w14:paraId="2CA0ABE7" w14:textId="77777777" w:rsidTr="00565083">
        <w:trPr>
          <w:trHeight w:val="315"/>
        </w:trPr>
        <w:tc>
          <w:tcPr>
            <w:tcW w:w="284" w:type="dxa"/>
            <w:shd w:val="clear" w:color="auto" w:fill="auto"/>
            <w:noWrap/>
          </w:tcPr>
          <w:p w14:paraId="750C34DF" w14:textId="77777777" w:rsidR="009B6B98" w:rsidRPr="00496DF7" w:rsidRDefault="009B6B98" w:rsidP="00565083">
            <w:pPr>
              <w:rPr>
                <w:rFonts w:cstheme="minorHAnsi"/>
                <w:sz w:val="16"/>
                <w:szCs w:val="16"/>
              </w:rPr>
            </w:pPr>
            <w:r w:rsidRPr="00496DF7">
              <w:rPr>
                <w:rFonts w:cstheme="minorHAnsi"/>
                <w:sz w:val="16"/>
                <w:szCs w:val="16"/>
              </w:rPr>
              <w:t>70</w:t>
            </w:r>
          </w:p>
        </w:tc>
        <w:tc>
          <w:tcPr>
            <w:tcW w:w="2683" w:type="dxa"/>
            <w:shd w:val="clear" w:color="auto" w:fill="auto"/>
            <w:noWrap/>
          </w:tcPr>
          <w:p w14:paraId="70554D30" w14:textId="77777777" w:rsidR="009B6B98" w:rsidRPr="00496DF7" w:rsidRDefault="009B6B98" w:rsidP="00565083">
            <w:pPr>
              <w:spacing w:after="200"/>
              <w:rPr>
                <w:rFonts w:cstheme="minorHAnsi"/>
                <w:sz w:val="16"/>
                <w:szCs w:val="16"/>
              </w:rPr>
            </w:pPr>
            <w:r w:rsidRPr="00496DF7">
              <w:rPr>
                <w:rFonts w:cstheme="minorHAnsi"/>
                <w:sz w:val="16"/>
                <w:szCs w:val="16"/>
              </w:rPr>
              <w:t>Améliorer la traçabilité de la production et des exportations artisanales de cuivre, cobalt et zinc et développer une base de données permettant de suivre la production des coopératives et entités de transformation.</w:t>
            </w:r>
          </w:p>
        </w:tc>
        <w:tc>
          <w:tcPr>
            <w:tcW w:w="1981" w:type="dxa"/>
            <w:gridSpan w:val="2"/>
            <w:shd w:val="clear" w:color="auto" w:fill="auto"/>
            <w:noWrap/>
          </w:tcPr>
          <w:p w14:paraId="137F2626" w14:textId="77777777" w:rsidR="009B6B98" w:rsidRPr="00496DF7" w:rsidRDefault="009B6B98" w:rsidP="00565083">
            <w:pPr>
              <w:rPr>
                <w:rFonts w:cstheme="minorHAnsi"/>
                <w:sz w:val="16"/>
                <w:szCs w:val="16"/>
              </w:rPr>
            </w:pPr>
            <w:r w:rsidRPr="00496DF7">
              <w:rPr>
                <w:rFonts w:cstheme="minorHAnsi"/>
                <w:sz w:val="16"/>
                <w:szCs w:val="16"/>
              </w:rPr>
              <w:t xml:space="preserve">Rapport ITIE-RDC – EMAPE cuivre-cobalt-zinc, </w:t>
            </w:r>
            <w:proofErr w:type="gramStart"/>
            <w:r w:rsidRPr="00496DF7">
              <w:rPr>
                <w:rFonts w:cstheme="minorHAnsi"/>
                <w:sz w:val="16"/>
                <w:szCs w:val="16"/>
              </w:rPr>
              <w:t>2023;</w:t>
            </w:r>
            <w:proofErr w:type="gramEnd"/>
            <w:r w:rsidRPr="00496DF7">
              <w:rPr>
                <w:rFonts w:cstheme="minorHAnsi"/>
                <w:sz w:val="16"/>
                <w:szCs w:val="16"/>
              </w:rPr>
              <w:t xml:space="preserve"> </w:t>
            </w:r>
          </w:p>
        </w:tc>
        <w:tc>
          <w:tcPr>
            <w:tcW w:w="946" w:type="dxa"/>
            <w:shd w:val="clear" w:color="auto" w:fill="auto"/>
            <w:noWrap/>
          </w:tcPr>
          <w:p w14:paraId="0FE72F16"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33062A12" w14:textId="77777777" w:rsidR="009B6B98" w:rsidRPr="00496DF7" w:rsidRDefault="009B6B98" w:rsidP="00565083">
            <w:pPr>
              <w:rPr>
                <w:rFonts w:cstheme="minorHAnsi"/>
                <w:sz w:val="16"/>
                <w:szCs w:val="16"/>
              </w:rPr>
            </w:pPr>
            <w:r w:rsidRPr="00496DF7">
              <w:rPr>
                <w:rFonts w:cstheme="minorHAnsi"/>
                <w:sz w:val="16"/>
                <w:szCs w:val="16"/>
              </w:rPr>
              <w:t>SAEMAPE / Ministère des Mines / CEEC / CTCPM / CE ITIE-RDC</w:t>
            </w:r>
          </w:p>
        </w:tc>
        <w:tc>
          <w:tcPr>
            <w:tcW w:w="1850" w:type="dxa"/>
            <w:gridSpan w:val="2"/>
            <w:shd w:val="clear" w:color="auto" w:fill="auto"/>
            <w:noWrap/>
          </w:tcPr>
          <w:p w14:paraId="0E88CE88" w14:textId="77777777" w:rsidR="009B6B98" w:rsidRPr="00496DF7" w:rsidRDefault="009B6B98" w:rsidP="00565083">
            <w:pPr>
              <w:rPr>
                <w:rFonts w:cstheme="minorHAnsi"/>
                <w:sz w:val="16"/>
                <w:szCs w:val="16"/>
              </w:rPr>
            </w:pPr>
            <w:r w:rsidRPr="00496DF7">
              <w:rPr>
                <w:rFonts w:cstheme="minorHAnsi"/>
                <w:sz w:val="16"/>
                <w:szCs w:val="16"/>
              </w:rPr>
              <w:t>PTT 2024-2026 – EMAPE cuivre-cobalt-</w:t>
            </w:r>
            <w:proofErr w:type="gramStart"/>
            <w:r w:rsidRPr="00496DF7">
              <w:rPr>
                <w:rFonts w:cstheme="minorHAnsi"/>
                <w:sz w:val="16"/>
                <w:szCs w:val="16"/>
              </w:rPr>
              <w:t>zinc;</w:t>
            </w:r>
            <w:proofErr w:type="gramEnd"/>
            <w:r w:rsidRPr="00496DF7">
              <w:rPr>
                <w:rFonts w:cstheme="minorHAnsi"/>
                <w:sz w:val="16"/>
                <w:szCs w:val="16"/>
              </w:rPr>
              <w:t xml:space="preserve"> </w:t>
            </w:r>
          </w:p>
        </w:tc>
        <w:tc>
          <w:tcPr>
            <w:tcW w:w="2883" w:type="dxa"/>
            <w:gridSpan w:val="2"/>
          </w:tcPr>
          <w:p w14:paraId="3167F0A7"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7B8807D0" w14:textId="77777777" w:rsidR="009B6B98" w:rsidRPr="00496DF7" w:rsidRDefault="009B6B98" w:rsidP="00565083">
            <w:pPr>
              <w:rPr>
                <w:sz w:val="16"/>
                <w:szCs w:val="16"/>
              </w:rPr>
            </w:pPr>
            <w:r w:rsidRPr="00496DF7">
              <w:rPr>
                <w:sz w:val="16"/>
                <w:szCs w:val="16"/>
              </w:rPr>
              <w:t>Renforcement de la fiabilité des données et formalisation du secteur.</w:t>
            </w:r>
          </w:p>
        </w:tc>
      </w:tr>
      <w:tr w:rsidR="009B6B98" w:rsidRPr="00496DF7" w14:paraId="57C2ED0A" w14:textId="77777777" w:rsidTr="00565083">
        <w:trPr>
          <w:trHeight w:val="315"/>
        </w:trPr>
        <w:tc>
          <w:tcPr>
            <w:tcW w:w="284" w:type="dxa"/>
            <w:shd w:val="clear" w:color="auto" w:fill="auto"/>
            <w:noWrap/>
          </w:tcPr>
          <w:p w14:paraId="2AEF81C7" w14:textId="77777777" w:rsidR="009B6B98" w:rsidRPr="00496DF7" w:rsidRDefault="009B6B98" w:rsidP="00565083">
            <w:pPr>
              <w:rPr>
                <w:rFonts w:cstheme="minorHAnsi"/>
                <w:sz w:val="16"/>
                <w:szCs w:val="16"/>
              </w:rPr>
            </w:pPr>
            <w:r w:rsidRPr="00496DF7">
              <w:rPr>
                <w:rFonts w:cstheme="minorHAnsi"/>
                <w:sz w:val="16"/>
                <w:szCs w:val="16"/>
              </w:rPr>
              <w:t>71</w:t>
            </w:r>
          </w:p>
        </w:tc>
        <w:tc>
          <w:tcPr>
            <w:tcW w:w="2683" w:type="dxa"/>
            <w:shd w:val="clear" w:color="auto" w:fill="auto"/>
            <w:noWrap/>
          </w:tcPr>
          <w:p w14:paraId="4152865C" w14:textId="77777777" w:rsidR="009B6B98" w:rsidRPr="00496DF7" w:rsidRDefault="009B6B98" w:rsidP="00565083">
            <w:pPr>
              <w:spacing w:after="200"/>
              <w:rPr>
                <w:rFonts w:cstheme="minorHAnsi"/>
                <w:sz w:val="16"/>
                <w:szCs w:val="16"/>
              </w:rPr>
            </w:pPr>
            <w:r w:rsidRPr="00496DF7">
              <w:rPr>
                <w:rFonts w:cstheme="minorHAnsi"/>
                <w:sz w:val="16"/>
                <w:szCs w:val="16"/>
              </w:rPr>
              <w:t>Mettre en œuvre la feuille de route issue de l’étude de faisabilité sur la divulgation systématique des données ITIE, avec priorisation des systèmes, responsabilités, interopérabilité et calendrier.</w:t>
            </w:r>
          </w:p>
        </w:tc>
        <w:tc>
          <w:tcPr>
            <w:tcW w:w="1981" w:type="dxa"/>
            <w:gridSpan w:val="2"/>
            <w:shd w:val="clear" w:color="auto" w:fill="auto"/>
            <w:noWrap/>
          </w:tcPr>
          <w:p w14:paraId="15F953D0" w14:textId="77777777" w:rsidR="009B6B98" w:rsidRPr="00496DF7" w:rsidRDefault="009B6B98" w:rsidP="00565083">
            <w:pPr>
              <w:rPr>
                <w:rFonts w:cstheme="minorHAnsi"/>
                <w:sz w:val="16"/>
                <w:szCs w:val="16"/>
              </w:rPr>
            </w:pPr>
            <w:r w:rsidRPr="00496DF7">
              <w:rPr>
                <w:rFonts w:cstheme="minorHAnsi"/>
                <w:sz w:val="16"/>
                <w:szCs w:val="16"/>
              </w:rPr>
              <w:t>Étude de faisabilité et Feuille de route sur la divulgation systématique des données ITIE, 2024</w:t>
            </w:r>
          </w:p>
        </w:tc>
        <w:tc>
          <w:tcPr>
            <w:tcW w:w="946" w:type="dxa"/>
            <w:shd w:val="clear" w:color="auto" w:fill="auto"/>
            <w:noWrap/>
          </w:tcPr>
          <w:p w14:paraId="1911049E"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3CEAE1C3" w14:textId="77777777" w:rsidR="009B6B98" w:rsidRPr="00496DF7" w:rsidRDefault="009B6B98" w:rsidP="00565083">
            <w:pPr>
              <w:rPr>
                <w:rFonts w:cstheme="minorHAnsi"/>
                <w:sz w:val="16"/>
                <w:szCs w:val="16"/>
              </w:rPr>
            </w:pPr>
            <w:r w:rsidRPr="00496DF7">
              <w:rPr>
                <w:rFonts w:cstheme="minorHAnsi"/>
                <w:sz w:val="16"/>
                <w:szCs w:val="16"/>
              </w:rPr>
              <w:t>CE ITIE-RDC / CTCPM / CAMI / SGH / régies financières / administrations publiques</w:t>
            </w:r>
          </w:p>
        </w:tc>
        <w:tc>
          <w:tcPr>
            <w:tcW w:w="1850" w:type="dxa"/>
            <w:gridSpan w:val="2"/>
            <w:shd w:val="clear" w:color="auto" w:fill="auto"/>
            <w:noWrap/>
          </w:tcPr>
          <w:p w14:paraId="19E3D0CE" w14:textId="77777777" w:rsidR="009B6B98" w:rsidRPr="00496DF7" w:rsidRDefault="009B6B98" w:rsidP="00565083">
            <w:pPr>
              <w:rPr>
                <w:rFonts w:cstheme="minorHAnsi"/>
                <w:sz w:val="16"/>
                <w:szCs w:val="16"/>
              </w:rPr>
            </w:pPr>
            <w:r w:rsidRPr="00496DF7">
              <w:rPr>
                <w:rFonts w:cstheme="minorHAnsi"/>
                <w:sz w:val="16"/>
                <w:szCs w:val="16"/>
              </w:rPr>
              <w:t xml:space="preserve">PTT 2024-2026 – Axe divulgation </w:t>
            </w:r>
            <w:proofErr w:type="gramStart"/>
            <w:r w:rsidRPr="00496DF7">
              <w:rPr>
                <w:rFonts w:cstheme="minorHAnsi"/>
                <w:sz w:val="16"/>
                <w:szCs w:val="16"/>
              </w:rPr>
              <w:t>systématique;</w:t>
            </w:r>
            <w:proofErr w:type="gramEnd"/>
            <w:r w:rsidRPr="00496DF7">
              <w:rPr>
                <w:rFonts w:cstheme="minorHAnsi"/>
                <w:sz w:val="16"/>
                <w:szCs w:val="16"/>
              </w:rPr>
              <w:t xml:space="preserve"> </w:t>
            </w:r>
          </w:p>
        </w:tc>
        <w:tc>
          <w:tcPr>
            <w:tcW w:w="2883" w:type="dxa"/>
            <w:gridSpan w:val="2"/>
          </w:tcPr>
          <w:p w14:paraId="53CE35F1"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28F846DA" w14:textId="77777777" w:rsidR="009B6B98" w:rsidRPr="00496DF7" w:rsidRDefault="009B6B98" w:rsidP="00565083">
            <w:pPr>
              <w:rPr>
                <w:sz w:val="16"/>
                <w:szCs w:val="16"/>
              </w:rPr>
            </w:pPr>
            <w:r w:rsidRPr="00496DF7">
              <w:rPr>
                <w:sz w:val="16"/>
                <w:szCs w:val="16"/>
              </w:rPr>
              <w:t>Exigences 4 à 6 et 7.2.</w:t>
            </w:r>
          </w:p>
        </w:tc>
      </w:tr>
      <w:tr w:rsidR="009B6B98" w:rsidRPr="00496DF7" w14:paraId="2FA660F6" w14:textId="77777777" w:rsidTr="00565083">
        <w:trPr>
          <w:trHeight w:val="315"/>
        </w:trPr>
        <w:tc>
          <w:tcPr>
            <w:tcW w:w="284" w:type="dxa"/>
            <w:shd w:val="clear" w:color="auto" w:fill="auto"/>
            <w:noWrap/>
          </w:tcPr>
          <w:p w14:paraId="6C0C7C49" w14:textId="77777777" w:rsidR="009B6B98" w:rsidRPr="00496DF7" w:rsidRDefault="009B6B98" w:rsidP="00565083">
            <w:pPr>
              <w:rPr>
                <w:rFonts w:cstheme="minorHAnsi"/>
                <w:sz w:val="16"/>
                <w:szCs w:val="16"/>
              </w:rPr>
            </w:pPr>
            <w:r w:rsidRPr="00496DF7">
              <w:rPr>
                <w:rFonts w:cstheme="minorHAnsi"/>
                <w:sz w:val="16"/>
                <w:szCs w:val="16"/>
              </w:rPr>
              <w:t>72</w:t>
            </w:r>
          </w:p>
        </w:tc>
        <w:tc>
          <w:tcPr>
            <w:tcW w:w="2683" w:type="dxa"/>
            <w:shd w:val="clear" w:color="auto" w:fill="auto"/>
            <w:noWrap/>
          </w:tcPr>
          <w:p w14:paraId="3608ECB0" w14:textId="77777777" w:rsidR="009B6B98" w:rsidRPr="00496DF7" w:rsidRDefault="009B6B98" w:rsidP="00565083">
            <w:pPr>
              <w:spacing w:after="200"/>
              <w:rPr>
                <w:rFonts w:cstheme="minorHAnsi"/>
                <w:sz w:val="16"/>
                <w:szCs w:val="16"/>
              </w:rPr>
            </w:pPr>
            <w:r w:rsidRPr="00496DF7">
              <w:rPr>
                <w:rFonts w:cstheme="minorHAnsi"/>
                <w:sz w:val="16"/>
                <w:szCs w:val="16"/>
              </w:rPr>
              <w:t>Clarifier et institutionnaliser la responsabilité de production et de publication des synthèses EIES/PGES/PAR et assurer leur divulgation régulière et accessible.</w:t>
            </w:r>
          </w:p>
        </w:tc>
        <w:tc>
          <w:tcPr>
            <w:tcW w:w="1981" w:type="dxa"/>
            <w:gridSpan w:val="2"/>
            <w:shd w:val="clear" w:color="auto" w:fill="auto"/>
            <w:noWrap/>
          </w:tcPr>
          <w:p w14:paraId="0F6CF2A2" w14:textId="77777777" w:rsidR="009B6B98" w:rsidRPr="00496DF7" w:rsidRDefault="009B6B98" w:rsidP="00565083">
            <w:pPr>
              <w:rPr>
                <w:rFonts w:cstheme="minorHAnsi"/>
                <w:sz w:val="16"/>
                <w:szCs w:val="16"/>
              </w:rPr>
            </w:pPr>
            <w:r w:rsidRPr="00496DF7">
              <w:rPr>
                <w:rFonts w:cstheme="minorHAnsi"/>
                <w:sz w:val="16"/>
                <w:szCs w:val="16"/>
              </w:rPr>
              <w:t xml:space="preserve">Évaluation du niveau d’exécution des obligations sociales et environnementales, </w:t>
            </w:r>
            <w:proofErr w:type="gramStart"/>
            <w:r w:rsidRPr="00496DF7">
              <w:rPr>
                <w:rFonts w:cstheme="minorHAnsi"/>
                <w:sz w:val="16"/>
                <w:szCs w:val="16"/>
              </w:rPr>
              <w:t>2025;</w:t>
            </w:r>
            <w:proofErr w:type="gramEnd"/>
            <w:r w:rsidRPr="00496DF7">
              <w:rPr>
                <w:rFonts w:cstheme="minorHAnsi"/>
                <w:sz w:val="16"/>
                <w:szCs w:val="16"/>
              </w:rPr>
              <w:t xml:space="preserve"> activité ITIE-RDC avril-mai 2025</w:t>
            </w:r>
          </w:p>
        </w:tc>
        <w:tc>
          <w:tcPr>
            <w:tcW w:w="946" w:type="dxa"/>
            <w:shd w:val="clear" w:color="auto" w:fill="auto"/>
            <w:noWrap/>
          </w:tcPr>
          <w:p w14:paraId="61A4EA65"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0EC111B7" w14:textId="77777777" w:rsidR="009B6B98" w:rsidRPr="00496DF7" w:rsidRDefault="009B6B98" w:rsidP="00565083">
            <w:pPr>
              <w:rPr>
                <w:rFonts w:cstheme="minorHAnsi"/>
                <w:sz w:val="16"/>
                <w:szCs w:val="16"/>
              </w:rPr>
            </w:pPr>
            <w:r w:rsidRPr="00496DF7">
              <w:rPr>
                <w:rFonts w:cstheme="minorHAnsi"/>
                <w:sz w:val="16"/>
                <w:szCs w:val="16"/>
              </w:rPr>
              <w:t>Ministère des Mines / DPEM / ACE / entreprises extractives / CE ITIE-RDC</w:t>
            </w:r>
          </w:p>
        </w:tc>
        <w:tc>
          <w:tcPr>
            <w:tcW w:w="1850" w:type="dxa"/>
            <w:gridSpan w:val="2"/>
            <w:shd w:val="clear" w:color="auto" w:fill="auto"/>
            <w:noWrap/>
          </w:tcPr>
          <w:p w14:paraId="1FD157F9" w14:textId="77777777" w:rsidR="009B6B98" w:rsidRPr="00496DF7" w:rsidRDefault="009B6B98" w:rsidP="00565083">
            <w:pPr>
              <w:rPr>
                <w:rFonts w:cstheme="minorHAnsi"/>
                <w:sz w:val="16"/>
                <w:szCs w:val="16"/>
              </w:rPr>
            </w:pPr>
            <w:r w:rsidRPr="00496DF7">
              <w:rPr>
                <w:rFonts w:cstheme="minorHAnsi"/>
                <w:sz w:val="16"/>
                <w:szCs w:val="16"/>
              </w:rPr>
              <w:t>PTT 2024-2026 et PTBA 2025 – sous-activité 27.4</w:t>
            </w:r>
          </w:p>
        </w:tc>
        <w:tc>
          <w:tcPr>
            <w:tcW w:w="2883" w:type="dxa"/>
            <w:gridSpan w:val="2"/>
          </w:tcPr>
          <w:p w14:paraId="3D28B1AA" w14:textId="77777777" w:rsidR="009B6B98" w:rsidRPr="00496DF7" w:rsidRDefault="009B6B98" w:rsidP="00565083">
            <w:pPr>
              <w:rPr>
                <w:rFonts w:cstheme="minorHAnsi"/>
                <w:sz w:val="16"/>
                <w:szCs w:val="16"/>
              </w:rPr>
            </w:pPr>
            <w:r w:rsidRPr="00496DF7">
              <w:rPr>
                <w:rFonts w:cstheme="minorHAnsi"/>
                <w:sz w:val="16"/>
                <w:szCs w:val="16"/>
              </w:rPr>
              <w:t>Réalisé partiellement</w:t>
            </w:r>
          </w:p>
          <w:p w14:paraId="5D34A82A" w14:textId="77777777" w:rsidR="009B6B98" w:rsidRPr="00496DF7" w:rsidRDefault="009B6B98" w:rsidP="00565083">
            <w:pPr>
              <w:rPr>
                <w:rFonts w:cstheme="minorHAnsi"/>
                <w:sz w:val="16"/>
                <w:szCs w:val="16"/>
              </w:rPr>
            </w:pPr>
            <w:r w:rsidRPr="00496DF7">
              <w:rPr>
                <w:rFonts w:cstheme="minorHAnsi"/>
                <w:sz w:val="16"/>
                <w:szCs w:val="16"/>
              </w:rPr>
              <w:t xml:space="preserve">Cf. tenue des 3 ateliers (Kinshasa, Lubumbashi et Kolwezi) pour convenir de la </w:t>
            </w:r>
            <w:proofErr w:type="gramStart"/>
            <w:r w:rsidRPr="00496DF7">
              <w:rPr>
                <w:rFonts w:cstheme="minorHAnsi"/>
                <w:sz w:val="16"/>
                <w:szCs w:val="16"/>
              </w:rPr>
              <w:t>structure  responsable</w:t>
            </w:r>
            <w:proofErr w:type="gramEnd"/>
            <w:r w:rsidRPr="00496DF7">
              <w:rPr>
                <w:rFonts w:cstheme="minorHAnsi"/>
                <w:sz w:val="16"/>
                <w:szCs w:val="16"/>
              </w:rPr>
              <w:t>, processus de prise d’</w:t>
            </w:r>
            <w:proofErr w:type="spellStart"/>
            <w:r w:rsidRPr="00496DF7">
              <w:rPr>
                <w:rFonts w:cstheme="minorHAnsi"/>
                <w:sz w:val="16"/>
                <w:szCs w:val="16"/>
              </w:rPr>
              <w:t>Arreté</w:t>
            </w:r>
            <w:proofErr w:type="spellEnd"/>
            <w:r w:rsidRPr="00496DF7">
              <w:rPr>
                <w:rFonts w:cstheme="minorHAnsi"/>
                <w:sz w:val="16"/>
                <w:szCs w:val="16"/>
              </w:rPr>
              <w:t xml:space="preserve"> en cours </w:t>
            </w:r>
          </w:p>
        </w:tc>
        <w:tc>
          <w:tcPr>
            <w:tcW w:w="2292" w:type="dxa"/>
            <w:gridSpan w:val="2"/>
            <w:shd w:val="clear" w:color="auto" w:fill="auto"/>
            <w:noWrap/>
          </w:tcPr>
          <w:p w14:paraId="48243231" w14:textId="77777777" w:rsidR="009B6B98" w:rsidRPr="00496DF7" w:rsidRDefault="009B6B98" w:rsidP="00565083">
            <w:pPr>
              <w:rPr>
                <w:sz w:val="16"/>
                <w:szCs w:val="16"/>
              </w:rPr>
            </w:pPr>
            <w:r w:rsidRPr="00496DF7">
              <w:rPr>
                <w:sz w:val="16"/>
                <w:szCs w:val="16"/>
              </w:rPr>
              <w:t xml:space="preserve">Exigences 6.1 et 6.4; </w:t>
            </w:r>
          </w:p>
        </w:tc>
      </w:tr>
      <w:tr w:rsidR="009B6B98" w:rsidRPr="00496DF7" w14:paraId="5D1079B6" w14:textId="77777777" w:rsidTr="00565083">
        <w:trPr>
          <w:trHeight w:val="315"/>
        </w:trPr>
        <w:tc>
          <w:tcPr>
            <w:tcW w:w="284" w:type="dxa"/>
            <w:shd w:val="clear" w:color="auto" w:fill="auto"/>
            <w:noWrap/>
          </w:tcPr>
          <w:p w14:paraId="1CE28B12" w14:textId="77777777" w:rsidR="009B6B98" w:rsidRPr="00496DF7" w:rsidRDefault="009B6B98" w:rsidP="00565083">
            <w:pPr>
              <w:rPr>
                <w:rFonts w:cstheme="minorHAnsi"/>
                <w:sz w:val="16"/>
                <w:szCs w:val="16"/>
              </w:rPr>
            </w:pPr>
            <w:r w:rsidRPr="00496DF7">
              <w:rPr>
                <w:rFonts w:cstheme="minorHAnsi"/>
                <w:sz w:val="16"/>
                <w:szCs w:val="16"/>
              </w:rPr>
              <w:t>73</w:t>
            </w:r>
          </w:p>
        </w:tc>
        <w:tc>
          <w:tcPr>
            <w:tcW w:w="2683" w:type="dxa"/>
            <w:shd w:val="clear" w:color="auto" w:fill="auto"/>
            <w:noWrap/>
          </w:tcPr>
          <w:p w14:paraId="39FDF2E1" w14:textId="77777777" w:rsidR="009B6B98" w:rsidRPr="00496DF7" w:rsidRDefault="009B6B98" w:rsidP="00565083">
            <w:pPr>
              <w:spacing w:after="200"/>
              <w:rPr>
                <w:rFonts w:cstheme="minorHAnsi"/>
                <w:sz w:val="16"/>
                <w:szCs w:val="16"/>
              </w:rPr>
            </w:pPr>
            <w:r w:rsidRPr="00496DF7">
              <w:rPr>
                <w:rFonts w:cstheme="minorHAnsi"/>
                <w:sz w:val="16"/>
                <w:szCs w:val="16"/>
              </w:rPr>
              <w:t>Institutionnaliser l’utilisation de la modélisation fiscale pour cibler les contrôles et audits, surveiller les risques liés aux prix, volumes, coûts et prêts intragroupe et renforcer la coordination entre administrations.</w:t>
            </w:r>
          </w:p>
        </w:tc>
        <w:tc>
          <w:tcPr>
            <w:tcW w:w="1981" w:type="dxa"/>
            <w:gridSpan w:val="2"/>
            <w:shd w:val="clear" w:color="auto" w:fill="auto"/>
            <w:noWrap/>
          </w:tcPr>
          <w:p w14:paraId="5E5B6433" w14:textId="77777777" w:rsidR="009B6B98" w:rsidRPr="00496DF7" w:rsidRDefault="009B6B98" w:rsidP="00565083">
            <w:pPr>
              <w:rPr>
                <w:rFonts w:cstheme="minorHAnsi"/>
                <w:sz w:val="16"/>
                <w:szCs w:val="16"/>
              </w:rPr>
            </w:pPr>
            <w:r w:rsidRPr="00496DF7">
              <w:rPr>
                <w:rFonts w:cstheme="minorHAnsi"/>
                <w:sz w:val="16"/>
                <w:szCs w:val="16"/>
              </w:rPr>
              <w:t>Rapport ITIE-RDC – Mobilisation des ressources nationales : Modélisation fiscale de projets miniers, 2026</w:t>
            </w:r>
          </w:p>
        </w:tc>
        <w:tc>
          <w:tcPr>
            <w:tcW w:w="946" w:type="dxa"/>
            <w:shd w:val="clear" w:color="auto" w:fill="auto"/>
            <w:noWrap/>
          </w:tcPr>
          <w:p w14:paraId="731FD6C9" w14:textId="77777777" w:rsidR="009B6B98" w:rsidRPr="00496DF7" w:rsidRDefault="009B6B98" w:rsidP="00565083">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277FCA31" w14:textId="77777777" w:rsidR="009B6B98" w:rsidRPr="00496DF7" w:rsidRDefault="009B6B98" w:rsidP="00565083">
            <w:pPr>
              <w:rPr>
                <w:rFonts w:cstheme="minorHAnsi"/>
                <w:sz w:val="16"/>
                <w:szCs w:val="16"/>
              </w:rPr>
            </w:pPr>
            <w:r w:rsidRPr="00496DF7">
              <w:rPr>
                <w:rFonts w:cstheme="minorHAnsi"/>
                <w:sz w:val="16"/>
                <w:szCs w:val="16"/>
              </w:rPr>
              <w:t>Ministère des Finances / DGI / DGDA / DGRAD / Ministère des Mines / CE ITIE-RDC</w:t>
            </w:r>
          </w:p>
        </w:tc>
        <w:tc>
          <w:tcPr>
            <w:tcW w:w="1850" w:type="dxa"/>
            <w:gridSpan w:val="2"/>
            <w:shd w:val="clear" w:color="auto" w:fill="auto"/>
            <w:noWrap/>
          </w:tcPr>
          <w:p w14:paraId="6C7C864D" w14:textId="77777777" w:rsidR="009B6B98" w:rsidRPr="00496DF7" w:rsidRDefault="009B6B98" w:rsidP="00565083">
            <w:pPr>
              <w:rPr>
                <w:rFonts w:cstheme="minorHAnsi"/>
                <w:sz w:val="16"/>
                <w:szCs w:val="16"/>
              </w:rPr>
            </w:pPr>
            <w:r w:rsidRPr="00496DF7">
              <w:rPr>
                <w:rFonts w:cstheme="minorHAnsi"/>
                <w:sz w:val="16"/>
                <w:szCs w:val="16"/>
              </w:rPr>
              <w:t xml:space="preserve">PTBA 2026 – mobilisation des </w:t>
            </w:r>
            <w:proofErr w:type="gramStart"/>
            <w:r w:rsidRPr="00496DF7">
              <w:rPr>
                <w:rFonts w:cstheme="minorHAnsi"/>
                <w:sz w:val="16"/>
                <w:szCs w:val="16"/>
              </w:rPr>
              <w:t>recettes;</w:t>
            </w:r>
            <w:proofErr w:type="gramEnd"/>
            <w:r w:rsidRPr="00496DF7">
              <w:rPr>
                <w:rFonts w:cstheme="minorHAnsi"/>
                <w:sz w:val="16"/>
                <w:szCs w:val="16"/>
              </w:rPr>
              <w:t xml:space="preserve"> </w:t>
            </w:r>
          </w:p>
        </w:tc>
        <w:tc>
          <w:tcPr>
            <w:tcW w:w="2883" w:type="dxa"/>
            <w:gridSpan w:val="2"/>
          </w:tcPr>
          <w:p w14:paraId="00392346"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2B0AEC1A" w14:textId="77777777" w:rsidR="009B6B98" w:rsidRPr="00496DF7" w:rsidRDefault="009B6B98" w:rsidP="00565083">
            <w:pPr>
              <w:rPr>
                <w:sz w:val="16"/>
                <w:szCs w:val="16"/>
              </w:rPr>
            </w:pPr>
            <w:r w:rsidRPr="00496DF7">
              <w:rPr>
                <w:sz w:val="16"/>
                <w:szCs w:val="16"/>
              </w:rPr>
              <w:t>Recommandations 2026 : institutionnaliser les outils, renforcer la surveillance et la coordination.</w:t>
            </w:r>
          </w:p>
        </w:tc>
      </w:tr>
      <w:tr w:rsidR="009B6B98" w:rsidRPr="00496DF7" w14:paraId="68F78263" w14:textId="77777777" w:rsidTr="00565083">
        <w:trPr>
          <w:trHeight w:val="315"/>
        </w:trPr>
        <w:tc>
          <w:tcPr>
            <w:tcW w:w="284" w:type="dxa"/>
            <w:shd w:val="clear" w:color="auto" w:fill="auto"/>
            <w:noWrap/>
          </w:tcPr>
          <w:p w14:paraId="5C1A224B" w14:textId="77777777" w:rsidR="009B6B98" w:rsidRPr="00496DF7" w:rsidRDefault="009B6B98" w:rsidP="00565083">
            <w:pPr>
              <w:rPr>
                <w:rFonts w:cstheme="minorHAnsi"/>
                <w:sz w:val="16"/>
                <w:szCs w:val="16"/>
              </w:rPr>
            </w:pPr>
            <w:r w:rsidRPr="00496DF7">
              <w:rPr>
                <w:rFonts w:cstheme="minorHAnsi"/>
                <w:sz w:val="16"/>
                <w:szCs w:val="16"/>
              </w:rPr>
              <w:t>74</w:t>
            </w:r>
          </w:p>
        </w:tc>
        <w:tc>
          <w:tcPr>
            <w:tcW w:w="2683" w:type="dxa"/>
            <w:shd w:val="clear" w:color="auto" w:fill="auto"/>
            <w:noWrap/>
          </w:tcPr>
          <w:p w14:paraId="71A275A7" w14:textId="77777777" w:rsidR="009B6B98" w:rsidRPr="00496DF7" w:rsidRDefault="009B6B98" w:rsidP="00565083">
            <w:pPr>
              <w:spacing w:after="200"/>
              <w:rPr>
                <w:rFonts w:cstheme="minorHAnsi"/>
                <w:sz w:val="16"/>
                <w:szCs w:val="16"/>
              </w:rPr>
            </w:pPr>
            <w:r w:rsidRPr="00496DF7">
              <w:rPr>
                <w:rFonts w:cstheme="minorHAnsi"/>
                <w:sz w:val="16"/>
                <w:szCs w:val="16"/>
              </w:rPr>
              <w:t xml:space="preserve">Renforcer le suivi des obligations sociales et environnementales des entreprises minières et la divulgation </w:t>
            </w:r>
            <w:r w:rsidRPr="00496DF7">
              <w:rPr>
                <w:rFonts w:cstheme="minorHAnsi"/>
                <w:sz w:val="16"/>
                <w:szCs w:val="16"/>
              </w:rPr>
              <w:lastRenderedPageBreak/>
              <w:t>des résultats de contrôle, notamment dans le Haut-Katanga et le Lualaba.</w:t>
            </w:r>
          </w:p>
        </w:tc>
        <w:tc>
          <w:tcPr>
            <w:tcW w:w="1981" w:type="dxa"/>
            <w:gridSpan w:val="2"/>
            <w:shd w:val="clear" w:color="auto" w:fill="auto"/>
            <w:noWrap/>
          </w:tcPr>
          <w:p w14:paraId="008882C8" w14:textId="77777777" w:rsidR="009B6B98" w:rsidRPr="00496DF7" w:rsidRDefault="009B6B98" w:rsidP="00565083">
            <w:pPr>
              <w:rPr>
                <w:rFonts w:cstheme="minorHAnsi"/>
                <w:sz w:val="16"/>
                <w:szCs w:val="16"/>
              </w:rPr>
            </w:pPr>
            <w:r w:rsidRPr="00496DF7">
              <w:rPr>
                <w:rFonts w:cstheme="minorHAnsi"/>
                <w:sz w:val="16"/>
                <w:szCs w:val="16"/>
              </w:rPr>
              <w:lastRenderedPageBreak/>
              <w:t xml:space="preserve">Rapport thématique ITIE-RDC sur l’évaluation des </w:t>
            </w:r>
            <w:r w:rsidRPr="00496DF7">
              <w:rPr>
                <w:rFonts w:cstheme="minorHAnsi"/>
                <w:sz w:val="16"/>
                <w:szCs w:val="16"/>
              </w:rPr>
              <w:lastRenderedPageBreak/>
              <w:t>obligations sociales et environnementales, 2025</w:t>
            </w:r>
          </w:p>
        </w:tc>
        <w:tc>
          <w:tcPr>
            <w:tcW w:w="946" w:type="dxa"/>
            <w:shd w:val="clear" w:color="auto" w:fill="auto"/>
            <w:noWrap/>
          </w:tcPr>
          <w:p w14:paraId="100DD08E" w14:textId="77777777" w:rsidR="009B6B98" w:rsidRPr="00496DF7" w:rsidRDefault="009B6B98" w:rsidP="00565083">
            <w:pPr>
              <w:rPr>
                <w:rFonts w:cstheme="minorHAnsi"/>
                <w:sz w:val="16"/>
                <w:szCs w:val="16"/>
              </w:rPr>
            </w:pPr>
            <w:r w:rsidRPr="00496DF7">
              <w:rPr>
                <w:rFonts w:cstheme="minorHAnsi"/>
                <w:sz w:val="16"/>
                <w:szCs w:val="16"/>
              </w:rPr>
              <w:lastRenderedPageBreak/>
              <w:t>Élevé</w:t>
            </w:r>
          </w:p>
        </w:tc>
        <w:tc>
          <w:tcPr>
            <w:tcW w:w="1930" w:type="dxa"/>
            <w:gridSpan w:val="3"/>
            <w:shd w:val="clear" w:color="auto" w:fill="auto"/>
            <w:noWrap/>
          </w:tcPr>
          <w:p w14:paraId="7D069D44" w14:textId="77777777" w:rsidR="009B6B98" w:rsidRPr="00496DF7" w:rsidRDefault="009B6B98" w:rsidP="00565083">
            <w:pPr>
              <w:rPr>
                <w:rFonts w:cstheme="minorHAnsi"/>
                <w:sz w:val="16"/>
                <w:szCs w:val="16"/>
              </w:rPr>
            </w:pPr>
            <w:r w:rsidRPr="00496DF7">
              <w:rPr>
                <w:rFonts w:cstheme="minorHAnsi"/>
                <w:sz w:val="16"/>
                <w:szCs w:val="16"/>
              </w:rPr>
              <w:t xml:space="preserve">Ministère des Mines / DPEM / ACE / provinces </w:t>
            </w:r>
            <w:r w:rsidRPr="00496DF7">
              <w:rPr>
                <w:rFonts w:cstheme="minorHAnsi"/>
                <w:sz w:val="16"/>
                <w:szCs w:val="16"/>
              </w:rPr>
              <w:lastRenderedPageBreak/>
              <w:t>/ entreprises extractives / CE ITIE-RDC</w:t>
            </w:r>
          </w:p>
        </w:tc>
        <w:tc>
          <w:tcPr>
            <w:tcW w:w="1850" w:type="dxa"/>
            <w:gridSpan w:val="2"/>
            <w:shd w:val="clear" w:color="auto" w:fill="auto"/>
            <w:noWrap/>
          </w:tcPr>
          <w:p w14:paraId="01CC4290" w14:textId="77777777" w:rsidR="009B6B98" w:rsidRPr="00496DF7" w:rsidRDefault="009B6B98" w:rsidP="00565083">
            <w:pPr>
              <w:rPr>
                <w:rFonts w:cstheme="minorHAnsi"/>
                <w:sz w:val="16"/>
                <w:szCs w:val="16"/>
              </w:rPr>
            </w:pPr>
            <w:r w:rsidRPr="00496DF7">
              <w:rPr>
                <w:rFonts w:cstheme="minorHAnsi"/>
                <w:sz w:val="16"/>
                <w:szCs w:val="16"/>
              </w:rPr>
              <w:lastRenderedPageBreak/>
              <w:t xml:space="preserve">PTT 2024-2026 – obligations sociales et </w:t>
            </w:r>
            <w:proofErr w:type="gramStart"/>
            <w:r w:rsidRPr="00496DF7">
              <w:rPr>
                <w:rFonts w:cstheme="minorHAnsi"/>
                <w:sz w:val="16"/>
                <w:szCs w:val="16"/>
              </w:rPr>
              <w:t>environnementales;</w:t>
            </w:r>
            <w:proofErr w:type="gramEnd"/>
            <w:r w:rsidRPr="00496DF7">
              <w:rPr>
                <w:rFonts w:cstheme="minorHAnsi"/>
                <w:sz w:val="16"/>
                <w:szCs w:val="16"/>
              </w:rPr>
              <w:t xml:space="preserve"> </w:t>
            </w:r>
          </w:p>
        </w:tc>
        <w:tc>
          <w:tcPr>
            <w:tcW w:w="2883" w:type="dxa"/>
            <w:gridSpan w:val="2"/>
          </w:tcPr>
          <w:p w14:paraId="14224C22" w14:textId="77777777" w:rsidR="009B6B98" w:rsidRPr="00496DF7" w:rsidRDefault="009B6B98" w:rsidP="00565083">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02CF6237" w14:textId="77777777" w:rsidR="009B6B98" w:rsidRPr="00496DF7" w:rsidRDefault="009B6B98" w:rsidP="00565083">
            <w:pPr>
              <w:rPr>
                <w:sz w:val="16"/>
                <w:szCs w:val="16"/>
              </w:rPr>
            </w:pPr>
            <w:r w:rsidRPr="00496DF7">
              <w:rPr>
                <w:sz w:val="16"/>
                <w:szCs w:val="16"/>
              </w:rPr>
              <w:t>Exigences 6.1 et 6.4.</w:t>
            </w:r>
          </w:p>
        </w:tc>
      </w:tr>
      <w:tr w:rsidR="009B6B98" w:rsidRPr="00496DF7" w14:paraId="4F35BBF0" w14:textId="77777777" w:rsidTr="00565083">
        <w:trPr>
          <w:trHeight w:val="315"/>
        </w:trPr>
        <w:tc>
          <w:tcPr>
            <w:tcW w:w="284" w:type="dxa"/>
            <w:shd w:val="clear" w:color="000000" w:fill="B4C6E7"/>
            <w:noWrap/>
            <w:hideMark/>
          </w:tcPr>
          <w:p w14:paraId="7A5208D3" w14:textId="77777777" w:rsidR="009B6B98" w:rsidRPr="00AF2FF4" w:rsidRDefault="009B6B98" w:rsidP="00565083">
            <w:pPr>
              <w:jc w:val="right"/>
              <w:rPr>
                <w:rFonts w:cs="Calibri"/>
                <w:color w:val="000000"/>
                <w:sz w:val="16"/>
                <w:szCs w:val="16"/>
                <w:lang w:eastAsia="en-GB"/>
              </w:rPr>
            </w:pPr>
            <w:r w:rsidRPr="00AF2FF4">
              <w:rPr>
                <w:rFonts w:cs="Calibri"/>
                <w:color w:val="000000"/>
                <w:sz w:val="16"/>
                <w:szCs w:val="16"/>
                <w:lang w:eastAsia="en-GB"/>
              </w:rPr>
              <w:t>Nr</w:t>
            </w:r>
          </w:p>
        </w:tc>
        <w:tc>
          <w:tcPr>
            <w:tcW w:w="3261" w:type="dxa"/>
            <w:gridSpan w:val="2"/>
            <w:shd w:val="clear" w:color="000000" w:fill="B4C6E7"/>
            <w:noWrap/>
            <w:hideMark/>
          </w:tcPr>
          <w:p w14:paraId="382976F8"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Recommandation</w:t>
            </w:r>
          </w:p>
        </w:tc>
        <w:tc>
          <w:tcPr>
            <w:tcW w:w="2439" w:type="dxa"/>
            <w:gridSpan w:val="3"/>
            <w:shd w:val="clear" w:color="000000" w:fill="B4C6E7"/>
            <w:noWrap/>
            <w:hideMark/>
          </w:tcPr>
          <w:p w14:paraId="29C5ECB9"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Source de la recommandation</w:t>
            </w:r>
          </w:p>
        </w:tc>
        <w:tc>
          <w:tcPr>
            <w:tcW w:w="1283" w:type="dxa"/>
            <w:shd w:val="clear" w:color="000000" w:fill="B4C6E7"/>
            <w:noWrap/>
            <w:hideMark/>
          </w:tcPr>
          <w:p w14:paraId="29174CE0"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Niveau de priorité</w:t>
            </w:r>
          </w:p>
        </w:tc>
        <w:tc>
          <w:tcPr>
            <w:tcW w:w="1257" w:type="dxa"/>
            <w:gridSpan w:val="2"/>
            <w:shd w:val="clear" w:color="000000" w:fill="B4C6E7"/>
            <w:noWrap/>
            <w:hideMark/>
          </w:tcPr>
          <w:p w14:paraId="7DECF4C7"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Entité responsable</w:t>
            </w:r>
          </w:p>
        </w:tc>
        <w:tc>
          <w:tcPr>
            <w:tcW w:w="1800" w:type="dxa"/>
            <w:gridSpan w:val="2"/>
            <w:shd w:val="clear" w:color="000000" w:fill="B4C6E7"/>
            <w:noWrap/>
            <w:hideMark/>
          </w:tcPr>
          <w:p w14:paraId="06777A78"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Suivi par</w:t>
            </w:r>
          </w:p>
        </w:tc>
        <w:tc>
          <w:tcPr>
            <w:tcW w:w="2294" w:type="dxa"/>
            <w:gridSpan w:val="2"/>
            <w:shd w:val="clear" w:color="000000" w:fill="B4C6E7"/>
          </w:tcPr>
          <w:p w14:paraId="30A210F5" w14:textId="77777777" w:rsidR="009B6B98" w:rsidRPr="00496DF7" w:rsidRDefault="009B6B98" w:rsidP="00565083">
            <w:pPr>
              <w:rPr>
                <w:rFonts w:cs="Calibri"/>
                <w:color w:val="000000"/>
                <w:sz w:val="16"/>
                <w:szCs w:val="16"/>
                <w:lang w:eastAsia="en-GB"/>
              </w:rPr>
            </w:pPr>
            <w:r w:rsidRPr="00496DF7">
              <w:rPr>
                <w:rFonts w:cs="Calibri"/>
                <w:color w:val="000000"/>
                <w:sz w:val="16"/>
                <w:szCs w:val="16"/>
                <w:lang w:eastAsia="en-GB"/>
              </w:rPr>
              <w:t>Statut</w:t>
            </w:r>
          </w:p>
          <w:p w14:paraId="547145CB" w14:textId="77777777" w:rsidR="009B6B98" w:rsidRPr="00496DF7" w:rsidRDefault="009B6B98" w:rsidP="00565083">
            <w:pPr>
              <w:rPr>
                <w:rFonts w:cs="Calibri"/>
                <w:color w:val="000000"/>
                <w:sz w:val="16"/>
                <w:szCs w:val="16"/>
                <w:lang w:eastAsia="en-GB"/>
              </w:rPr>
            </w:pPr>
            <w:r w:rsidRPr="00496DF7">
              <w:rPr>
                <w:rFonts w:cs="Calibri"/>
                <w:color w:val="000000"/>
                <w:sz w:val="16"/>
                <w:szCs w:val="16"/>
                <w:lang w:eastAsia="en-GB"/>
              </w:rPr>
              <w:t>(</w:t>
            </w:r>
            <w:proofErr w:type="gramStart"/>
            <w:r w:rsidRPr="00496DF7">
              <w:rPr>
                <w:rFonts w:cs="Calibri"/>
                <w:color w:val="000000"/>
                <w:sz w:val="16"/>
                <w:szCs w:val="16"/>
                <w:lang w:eastAsia="en-GB"/>
              </w:rPr>
              <w:t>action</w:t>
            </w:r>
            <w:proofErr w:type="gramEnd"/>
            <w:r w:rsidRPr="00496DF7">
              <w:rPr>
                <w:rFonts w:cs="Calibri"/>
                <w:color w:val="000000"/>
                <w:sz w:val="16"/>
                <w:szCs w:val="16"/>
                <w:lang w:eastAsia="en-GB"/>
              </w:rPr>
              <w:t xml:space="preserve"> complétée, en cours/aucune action/ non adoptée par le GMP</w:t>
            </w:r>
          </w:p>
        </w:tc>
        <w:tc>
          <w:tcPr>
            <w:tcW w:w="2231" w:type="dxa"/>
            <w:shd w:val="clear" w:color="000000" w:fill="B4C6E7"/>
            <w:noWrap/>
            <w:hideMark/>
          </w:tcPr>
          <w:p w14:paraId="188F5ED4" w14:textId="77777777" w:rsidR="009B6B98" w:rsidRPr="00496DF7" w:rsidRDefault="009B6B98" w:rsidP="00565083">
            <w:pPr>
              <w:rPr>
                <w:rFonts w:cs="Calibri"/>
                <w:color w:val="000000"/>
                <w:sz w:val="16"/>
                <w:szCs w:val="16"/>
                <w:lang w:eastAsia="en-GB"/>
              </w:rPr>
            </w:pPr>
            <w:r w:rsidRPr="00496DF7">
              <w:rPr>
                <w:rFonts w:cs="Calibri"/>
                <w:color w:val="000000"/>
                <w:sz w:val="16"/>
                <w:szCs w:val="16"/>
                <w:lang w:eastAsia="en-GB"/>
              </w:rPr>
              <w:t>Le cas échéant : Exigence ITIE connexe et autres commentaires</w:t>
            </w:r>
          </w:p>
        </w:tc>
      </w:tr>
      <w:tr w:rsidR="009B6B98" w:rsidRPr="00496DF7" w14:paraId="564B42D1" w14:textId="77777777" w:rsidTr="00565083">
        <w:trPr>
          <w:trHeight w:val="630"/>
        </w:trPr>
        <w:tc>
          <w:tcPr>
            <w:tcW w:w="284" w:type="dxa"/>
            <w:shd w:val="clear" w:color="auto" w:fill="auto"/>
            <w:noWrap/>
            <w:hideMark/>
          </w:tcPr>
          <w:p w14:paraId="5B77C69E" w14:textId="77777777" w:rsidR="009B6B98" w:rsidRPr="00AF2FF4" w:rsidRDefault="009B6B98" w:rsidP="00565083">
            <w:pPr>
              <w:jc w:val="right"/>
              <w:rPr>
                <w:rFonts w:cs="Calibri"/>
                <w:color w:val="000000"/>
                <w:sz w:val="16"/>
                <w:szCs w:val="16"/>
                <w:lang w:eastAsia="en-GB"/>
              </w:rPr>
            </w:pPr>
            <w:r w:rsidRPr="00AF2FF4">
              <w:rPr>
                <w:rFonts w:cs="Calibri"/>
                <w:color w:val="000000"/>
                <w:sz w:val="16"/>
                <w:szCs w:val="16"/>
                <w:lang w:eastAsia="en-GB"/>
              </w:rPr>
              <w:t>1</w:t>
            </w:r>
          </w:p>
        </w:tc>
        <w:tc>
          <w:tcPr>
            <w:tcW w:w="3261" w:type="dxa"/>
            <w:gridSpan w:val="2"/>
            <w:shd w:val="clear" w:color="auto" w:fill="auto"/>
            <w:noWrap/>
            <w:hideMark/>
          </w:tcPr>
          <w:p w14:paraId="1D0B92D6" w14:textId="77777777" w:rsidR="009B6B98" w:rsidRPr="00496DF7" w:rsidRDefault="009B6B98" w:rsidP="00565083">
            <w:pPr>
              <w:rPr>
                <w:rFonts w:cs="Calibri"/>
                <w:color w:val="000000"/>
                <w:sz w:val="16"/>
                <w:szCs w:val="16"/>
                <w:lang w:eastAsia="en-GB"/>
              </w:rPr>
            </w:pPr>
            <w:r w:rsidRPr="00496DF7">
              <w:rPr>
                <w:rFonts w:cs="Calibri"/>
                <w:color w:val="000000"/>
                <w:sz w:val="16"/>
                <w:szCs w:val="16"/>
                <w:lang w:eastAsia="en-GB"/>
              </w:rPr>
              <w:t>Exemple : Recommandation de publier les contrats</w:t>
            </w:r>
          </w:p>
        </w:tc>
        <w:tc>
          <w:tcPr>
            <w:tcW w:w="2439" w:type="dxa"/>
            <w:gridSpan w:val="3"/>
            <w:shd w:val="clear" w:color="auto" w:fill="auto"/>
            <w:noWrap/>
            <w:hideMark/>
          </w:tcPr>
          <w:p w14:paraId="600CE3BF" w14:textId="77777777" w:rsidR="009B6B98" w:rsidRPr="00496DF7" w:rsidRDefault="009B6B98" w:rsidP="00565083">
            <w:pPr>
              <w:rPr>
                <w:rFonts w:cs="Calibri"/>
                <w:color w:val="000000"/>
                <w:sz w:val="16"/>
                <w:szCs w:val="16"/>
                <w:lang w:eastAsia="en-GB"/>
              </w:rPr>
            </w:pPr>
            <w:r w:rsidRPr="00496DF7">
              <w:rPr>
                <w:rFonts w:cs="Calibri"/>
                <w:color w:val="000000"/>
                <w:sz w:val="16"/>
                <w:szCs w:val="16"/>
                <w:lang w:eastAsia="en-GB"/>
              </w:rPr>
              <w:t>Rapport pétrole et gaz 2021, p. 69</w:t>
            </w:r>
          </w:p>
        </w:tc>
        <w:tc>
          <w:tcPr>
            <w:tcW w:w="1283" w:type="dxa"/>
            <w:shd w:val="clear" w:color="auto" w:fill="auto"/>
            <w:hideMark/>
          </w:tcPr>
          <w:p w14:paraId="698A0594"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Élevé</w:t>
            </w:r>
          </w:p>
        </w:tc>
        <w:tc>
          <w:tcPr>
            <w:tcW w:w="1257" w:type="dxa"/>
            <w:gridSpan w:val="2"/>
            <w:shd w:val="clear" w:color="auto" w:fill="auto"/>
            <w:hideMark/>
          </w:tcPr>
          <w:p w14:paraId="6F04EDE2"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Ministère du pétrole</w:t>
            </w:r>
          </w:p>
        </w:tc>
        <w:tc>
          <w:tcPr>
            <w:tcW w:w="1800" w:type="dxa"/>
            <w:gridSpan w:val="2"/>
            <w:shd w:val="clear" w:color="auto" w:fill="auto"/>
            <w:hideMark/>
          </w:tcPr>
          <w:p w14:paraId="2B26DF41" w14:textId="77777777" w:rsidR="009B6B98" w:rsidRPr="00496DF7" w:rsidRDefault="009B6B98" w:rsidP="00565083">
            <w:pPr>
              <w:rPr>
                <w:rFonts w:cs="Calibri"/>
                <w:color w:val="000000"/>
                <w:sz w:val="16"/>
                <w:szCs w:val="16"/>
                <w:lang w:eastAsia="en-GB"/>
              </w:rPr>
            </w:pPr>
            <w:r w:rsidRPr="00496DF7">
              <w:rPr>
                <w:rFonts w:cs="Calibri"/>
                <w:color w:val="000000"/>
                <w:sz w:val="16"/>
                <w:szCs w:val="16"/>
                <w:lang w:eastAsia="en-GB"/>
              </w:rPr>
              <w:t xml:space="preserve">Plan de travail, activité 4. Pour adoption lors de la </w:t>
            </w:r>
            <w:proofErr w:type="spellStart"/>
            <w:r w:rsidRPr="00496DF7">
              <w:rPr>
                <w:rFonts w:cs="Calibri"/>
                <w:color w:val="000000"/>
                <w:sz w:val="16"/>
                <w:szCs w:val="16"/>
                <w:lang w:eastAsia="en-GB"/>
              </w:rPr>
              <w:t>reunion</w:t>
            </w:r>
            <w:proofErr w:type="spellEnd"/>
            <w:r w:rsidRPr="00496DF7">
              <w:rPr>
                <w:rFonts w:cs="Calibri"/>
                <w:color w:val="000000"/>
                <w:sz w:val="16"/>
                <w:szCs w:val="16"/>
                <w:lang w:eastAsia="en-GB"/>
              </w:rPr>
              <w:t xml:space="preserve"> du GMP le 23.7.2025</w:t>
            </w:r>
          </w:p>
        </w:tc>
        <w:tc>
          <w:tcPr>
            <w:tcW w:w="2294" w:type="dxa"/>
            <w:gridSpan w:val="2"/>
          </w:tcPr>
          <w:p w14:paraId="0D4F86AD" w14:textId="77777777" w:rsidR="009B6B98" w:rsidRPr="00AF2FF4" w:rsidRDefault="009B6B98" w:rsidP="00565083">
            <w:pPr>
              <w:rPr>
                <w:rFonts w:cs="Calibri"/>
                <w:color w:val="000000"/>
                <w:sz w:val="16"/>
                <w:szCs w:val="16"/>
                <w:lang w:eastAsia="en-GB"/>
              </w:rPr>
            </w:pPr>
            <w:r w:rsidRPr="00AF2FF4">
              <w:rPr>
                <w:rFonts w:cs="Calibri"/>
                <w:color w:val="000000"/>
                <w:sz w:val="16"/>
                <w:szCs w:val="16"/>
                <w:lang w:eastAsia="en-GB"/>
              </w:rPr>
              <w:t>En cours</w:t>
            </w:r>
          </w:p>
        </w:tc>
        <w:tc>
          <w:tcPr>
            <w:tcW w:w="2231" w:type="dxa"/>
            <w:shd w:val="clear" w:color="auto" w:fill="auto"/>
            <w:hideMark/>
          </w:tcPr>
          <w:p w14:paraId="3EEE47F4" w14:textId="77777777" w:rsidR="009B6B98" w:rsidRPr="00AF2FF4" w:rsidRDefault="009B6B98" w:rsidP="00565083">
            <w:pPr>
              <w:rPr>
                <w:rFonts w:cs="Calibri"/>
                <w:color w:val="000000"/>
                <w:sz w:val="16"/>
                <w:szCs w:val="16"/>
                <w:lang w:eastAsia="en-GB"/>
              </w:rPr>
            </w:pPr>
          </w:p>
        </w:tc>
      </w:tr>
      <w:tr w:rsidR="009B6B98" w:rsidRPr="00496DF7" w14:paraId="39967DBA" w14:textId="77777777" w:rsidTr="00565083">
        <w:trPr>
          <w:trHeight w:val="315"/>
        </w:trPr>
        <w:tc>
          <w:tcPr>
            <w:tcW w:w="284" w:type="dxa"/>
            <w:shd w:val="clear" w:color="auto" w:fill="auto"/>
            <w:noWrap/>
            <w:hideMark/>
          </w:tcPr>
          <w:p w14:paraId="204F2A56" w14:textId="77777777" w:rsidR="009B6B98" w:rsidRPr="00AF2FF4" w:rsidRDefault="009B6B98" w:rsidP="00565083">
            <w:pPr>
              <w:jc w:val="right"/>
              <w:rPr>
                <w:rFonts w:cs="Calibri"/>
                <w:color w:val="000000"/>
                <w:sz w:val="16"/>
                <w:szCs w:val="16"/>
                <w:lang w:eastAsia="en-GB"/>
              </w:rPr>
            </w:pPr>
            <w:r w:rsidRPr="00AF2FF4">
              <w:rPr>
                <w:rFonts w:cs="Calibri"/>
                <w:color w:val="000000"/>
                <w:sz w:val="16"/>
                <w:szCs w:val="16"/>
                <w:lang w:eastAsia="en-GB"/>
              </w:rPr>
              <w:t>2</w:t>
            </w:r>
          </w:p>
        </w:tc>
        <w:tc>
          <w:tcPr>
            <w:tcW w:w="3261" w:type="dxa"/>
            <w:gridSpan w:val="2"/>
            <w:shd w:val="clear" w:color="auto" w:fill="auto"/>
            <w:noWrap/>
            <w:hideMark/>
          </w:tcPr>
          <w:p w14:paraId="1817F9FD" w14:textId="77777777" w:rsidR="009B6B98" w:rsidRPr="00496DF7" w:rsidRDefault="009B6B98" w:rsidP="00565083">
            <w:pPr>
              <w:rPr>
                <w:rFonts w:cs="Calibri"/>
                <w:color w:val="000000"/>
                <w:sz w:val="16"/>
                <w:szCs w:val="16"/>
                <w:lang w:eastAsia="en-GB"/>
              </w:rPr>
            </w:pPr>
            <w:r w:rsidRPr="00496DF7">
              <w:rPr>
                <w:rFonts w:cs="Calibri"/>
                <w:i/>
                <w:iCs/>
                <w:color w:val="000000"/>
                <w:sz w:val="16"/>
                <w:szCs w:val="16"/>
                <w:lang w:eastAsia="en-GB"/>
              </w:rPr>
              <w:t>Ajoutez des lignes si nécessaire</w:t>
            </w:r>
          </w:p>
        </w:tc>
        <w:tc>
          <w:tcPr>
            <w:tcW w:w="2439" w:type="dxa"/>
            <w:gridSpan w:val="3"/>
            <w:shd w:val="clear" w:color="auto" w:fill="auto"/>
            <w:noWrap/>
          </w:tcPr>
          <w:p w14:paraId="6ADE2318" w14:textId="77777777" w:rsidR="009B6B98" w:rsidRPr="00496DF7" w:rsidRDefault="009B6B98" w:rsidP="00565083">
            <w:pPr>
              <w:rPr>
                <w:rFonts w:cs="Calibri"/>
                <w:color w:val="000000"/>
                <w:sz w:val="16"/>
                <w:szCs w:val="16"/>
                <w:lang w:eastAsia="en-GB"/>
              </w:rPr>
            </w:pPr>
          </w:p>
        </w:tc>
        <w:tc>
          <w:tcPr>
            <w:tcW w:w="1283" w:type="dxa"/>
            <w:shd w:val="clear" w:color="auto" w:fill="auto"/>
            <w:noWrap/>
          </w:tcPr>
          <w:p w14:paraId="66F534CC" w14:textId="77777777" w:rsidR="009B6B98" w:rsidRPr="00496DF7" w:rsidRDefault="009B6B98" w:rsidP="00565083">
            <w:pPr>
              <w:rPr>
                <w:rFonts w:cs="Calibri"/>
                <w:color w:val="000000"/>
                <w:sz w:val="16"/>
                <w:szCs w:val="16"/>
                <w:lang w:eastAsia="en-GB"/>
              </w:rPr>
            </w:pPr>
          </w:p>
        </w:tc>
        <w:tc>
          <w:tcPr>
            <w:tcW w:w="1257" w:type="dxa"/>
            <w:gridSpan w:val="2"/>
            <w:shd w:val="clear" w:color="auto" w:fill="auto"/>
            <w:noWrap/>
          </w:tcPr>
          <w:p w14:paraId="67F7514C" w14:textId="77777777" w:rsidR="009B6B98" w:rsidRPr="00496DF7" w:rsidRDefault="009B6B98" w:rsidP="00565083">
            <w:pPr>
              <w:rPr>
                <w:rFonts w:cs="Calibri"/>
                <w:color w:val="000000"/>
                <w:sz w:val="16"/>
                <w:szCs w:val="16"/>
                <w:lang w:eastAsia="en-GB"/>
              </w:rPr>
            </w:pPr>
          </w:p>
        </w:tc>
        <w:tc>
          <w:tcPr>
            <w:tcW w:w="1800" w:type="dxa"/>
            <w:gridSpan w:val="2"/>
            <w:shd w:val="clear" w:color="auto" w:fill="auto"/>
            <w:noWrap/>
          </w:tcPr>
          <w:p w14:paraId="15F6ACA0" w14:textId="77777777" w:rsidR="009B6B98" w:rsidRPr="00496DF7" w:rsidRDefault="009B6B98" w:rsidP="00565083">
            <w:pPr>
              <w:rPr>
                <w:rFonts w:cs="Calibri"/>
                <w:color w:val="000000"/>
                <w:sz w:val="16"/>
                <w:szCs w:val="16"/>
                <w:lang w:eastAsia="en-GB"/>
              </w:rPr>
            </w:pPr>
          </w:p>
        </w:tc>
        <w:tc>
          <w:tcPr>
            <w:tcW w:w="2294" w:type="dxa"/>
            <w:gridSpan w:val="2"/>
          </w:tcPr>
          <w:p w14:paraId="33492BB3" w14:textId="77777777" w:rsidR="009B6B98" w:rsidRPr="00496DF7" w:rsidRDefault="009B6B98" w:rsidP="00565083">
            <w:pPr>
              <w:rPr>
                <w:sz w:val="16"/>
                <w:szCs w:val="16"/>
                <w:lang w:eastAsia="en-GB"/>
              </w:rPr>
            </w:pPr>
          </w:p>
        </w:tc>
        <w:tc>
          <w:tcPr>
            <w:tcW w:w="2231" w:type="dxa"/>
            <w:shd w:val="clear" w:color="auto" w:fill="auto"/>
            <w:noWrap/>
            <w:hideMark/>
          </w:tcPr>
          <w:p w14:paraId="191E4700" w14:textId="77777777" w:rsidR="009B6B98" w:rsidRPr="00496DF7" w:rsidRDefault="009B6B98" w:rsidP="00565083">
            <w:pPr>
              <w:rPr>
                <w:sz w:val="16"/>
                <w:szCs w:val="16"/>
                <w:lang w:eastAsia="en-GB"/>
              </w:rPr>
            </w:pPr>
          </w:p>
        </w:tc>
      </w:tr>
      <w:tr w:rsidR="009B6B98" w:rsidRPr="00496DF7" w14:paraId="35DA897E" w14:textId="77777777" w:rsidTr="00565083">
        <w:trPr>
          <w:trHeight w:val="315"/>
        </w:trPr>
        <w:tc>
          <w:tcPr>
            <w:tcW w:w="284" w:type="dxa"/>
            <w:shd w:val="clear" w:color="auto" w:fill="auto"/>
            <w:noWrap/>
            <w:hideMark/>
          </w:tcPr>
          <w:p w14:paraId="5D622149" w14:textId="77777777" w:rsidR="009B6B98" w:rsidRPr="00AF2FF4" w:rsidRDefault="009B6B98" w:rsidP="00565083">
            <w:pPr>
              <w:jc w:val="right"/>
              <w:rPr>
                <w:rFonts w:cs="Calibri"/>
                <w:color w:val="000000"/>
                <w:sz w:val="16"/>
                <w:szCs w:val="16"/>
                <w:lang w:eastAsia="en-GB"/>
              </w:rPr>
            </w:pPr>
            <w:r w:rsidRPr="00AF2FF4">
              <w:rPr>
                <w:rFonts w:cs="Calibri"/>
                <w:color w:val="000000"/>
                <w:sz w:val="16"/>
                <w:szCs w:val="16"/>
                <w:lang w:eastAsia="en-GB"/>
              </w:rPr>
              <w:t>3</w:t>
            </w:r>
          </w:p>
        </w:tc>
        <w:tc>
          <w:tcPr>
            <w:tcW w:w="3261" w:type="dxa"/>
            <w:gridSpan w:val="2"/>
            <w:shd w:val="clear" w:color="auto" w:fill="auto"/>
            <w:noWrap/>
          </w:tcPr>
          <w:p w14:paraId="18A3C9C2" w14:textId="77777777" w:rsidR="009B6B98" w:rsidRPr="00496DF7" w:rsidRDefault="009B6B98" w:rsidP="00565083">
            <w:pPr>
              <w:rPr>
                <w:rFonts w:cs="Calibri"/>
                <w:color w:val="000000"/>
                <w:sz w:val="16"/>
                <w:szCs w:val="16"/>
                <w:lang w:eastAsia="en-GB"/>
              </w:rPr>
            </w:pPr>
          </w:p>
        </w:tc>
        <w:tc>
          <w:tcPr>
            <w:tcW w:w="2439" w:type="dxa"/>
            <w:gridSpan w:val="3"/>
            <w:shd w:val="clear" w:color="auto" w:fill="auto"/>
            <w:noWrap/>
          </w:tcPr>
          <w:p w14:paraId="5E7FE1F4" w14:textId="77777777" w:rsidR="009B6B98" w:rsidRPr="00AF2FF4" w:rsidRDefault="009B6B98" w:rsidP="00565083">
            <w:pPr>
              <w:rPr>
                <w:rFonts w:cs="Calibri"/>
                <w:color w:val="000000"/>
                <w:sz w:val="16"/>
                <w:szCs w:val="16"/>
                <w:lang w:eastAsia="en-GB"/>
              </w:rPr>
            </w:pPr>
          </w:p>
        </w:tc>
        <w:tc>
          <w:tcPr>
            <w:tcW w:w="1283" w:type="dxa"/>
            <w:shd w:val="clear" w:color="auto" w:fill="auto"/>
            <w:noWrap/>
          </w:tcPr>
          <w:p w14:paraId="6B0C3C9B" w14:textId="77777777" w:rsidR="009B6B98" w:rsidRPr="00AF2FF4" w:rsidRDefault="009B6B98" w:rsidP="00565083">
            <w:pPr>
              <w:rPr>
                <w:rFonts w:cs="Calibri"/>
                <w:color w:val="000000"/>
                <w:sz w:val="16"/>
                <w:szCs w:val="16"/>
                <w:lang w:eastAsia="en-GB"/>
              </w:rPr>
            </w:pPr>
          </w:p>
        </w:tc>
        <w:tc>
          <w:tcPr>
            <w:tcW w:w="1257" w:type="dxa"/>
            <w:gridSpan w:val="2"/>
            <w:shd w:val="clear" w:color="auto" w:fill="auto"/>
            <w:noWrap/>
          </w:tcPr>
          <w:p w14:paraId="4F7E06E3" w14:textId="77777777" w:rsidR="009B6B98" w:rsidRPr="00AF2FF4" w:rsidRDefault="009B6B98" w:rsidP="00565083">
            <w:pPr>
              <w:rPr>
                <w:rFonts w:cs="Calibri"/>
                <w:color w:val="000000"/>
                <w:sz w:val="16"/>
                <w:szCs w:val="16"/>
                <w:lang w:eastAsia="en-GB"/>
              </w:rPr>
            </w:pPr>
          </w:p>
        </w:tc>
        <w:tc>
          <w:tcPr>
            <w:tcW w:w="1800" w:type="dxa"/>
            <w:gridSpan w:val="2"/>
            <w:shd w:val="clear" w:color="auto" w:fill="auto"/>
            <w:noWrap/>
          </w:tcPr>
          <w:p w14:paraId="30DB009E" w14:textId="77777777" w:rsidR="009B6B98" w:rsidRPr="00496DF7" w:rsidRDefault="009B6B98" w:rsidP="00565083">
            <w:pPr>
              <w:rPr>
                <w:rFonts w:cs="Calibri"/>
                <w:color w:val="000000"/>
                <w:sz w:val="16"/>
                <w:szCs w:val="16"/>
                <w:lang w:eastAsia="en-GB"/>
              </w:rPr>
            </w:pPr>
          </w:p>
        </w:tc>
        <w:tc>
          <w:tcPr>
            <w:tcW w:w="2294" w:type="dxa"/>
            <w:gridSpan w:val="2"/>
          </w:tcPr>
          <w:p w14:paraId="5CB3722E" w14:textId="77777777" w:rsidR="009B6B98" w:rsidRPr="00AF2FF4" w:rsidRDefault="009B6B98" w:rsidP="00565083">
            <w:pPr>
              <w:rPr>
                <w:rFonts w:cs="Calibri"/>
                <w:color w:val="000000"/>
                <w:sz w:val="16"/>
                <w:szCs w:val="16"/>
                <w:lang w:eastAsia="en-GB"/>
              </w:rPr>
            </w:pPr>
          </w:p>
        </w:tc>
        <w:tc>
          <w:tcPr>
            <w:tcW w:w="2231" w:type="dxa"/>
            <w:shd w:val="clear" w:color="auto" w:fill="auto"/>
          </w:tcPr>
          <w:p w14:paraId="6B30452C" w14:textId="77777777" w:rsidR="009B6B98" w:rsidRPr="00AF2FF4" w:rsidRDefault="009B6B98" w:rsidP="00565083">
            <w:pPr>
              <w:rPr>
                <w:rFonts w:cs="Calibri"/>
                <w:color w:val="000000"/>
                <w:sz w:val="16"/>
                <w:szCs w:val="16"/>
                <w:lang w:eastAsia="en-GB"/>
              </w:rPr>
            </w:pPr>
          </w:p>
        </w:tc>
      </w:tr>
      <w:tr w:rsidR="009B6B98" w:rsidRPr="00496DF7" w14:paraId="60BBB1AA" w14:textId="77777777" w:rsidTr="00565083">
        <w:trPr>
          <w:trHeight w:val="315"/>
        </w:trPr>
        <w:tc>
          <w:tcPr>
            <w:tcW w:w="284" w:type="dxa"/>
            <w:shd w:val="clear" w:color="auto" w:fill="auto"/>
            <w:noWrap/>
            <w:hideMark/>
          </w:tcPr>
          <w:p w14:paraId="1BD97ED1" w14:textId="77777777" w:rsidR="009B6B98" w:rsidRPr="00AF2FF4" w:rsidRDefault="009B6B98" w:rsidP="00565083">
            <w:pPr>
              <w:jc w:val="right"/>
              <w:rPr>
                <w:rFonts w:cs="Calibri"/>
                <w:color w:val="000000"/>
                <w:sz w:val="16"/>
                <w:szCs w:val="16"/>
                <w:lang w:eastAsia="en-GB"/>
              </w:rPr>
            </w:pPr>
            <w:r w:rsidRPr="00AF2FF4">
              <w:rPr>
                <w:rFonts w:cs="Calibri"/>
                <w:color w:val="000000"/>
                <w:sz w:val="16"/>
                <w:szCs w:val="16"/>
                <w:lang w:eastAsia="en-GB"/>
              </w:rPr>
              <w:t>4</w:t>
            </w:r>
          </w:p>
        </w:tc>
        <w:tc>
          <w:tcPr>
            <w:tcW w:w="3261" w:type="dxa"/>
            <w:gridSpan w:val="2"/>
            <w:shd w:val="clear" w:color="auto" w:fill="auto"/>
            <w:noWrap/>
          </w:tcPr>
          <w:p w14:paraId="01E2DBD1" w14:textId="77777777" w:rsidR="009B6B98" w:rsidRPr="00496DF7" w:rsidRDefault="009B6B98" w:rsidP="00565083">
            <w:pPr>
              <w:rPr>
                <w:rFonts w:cs="Calibri"/>
                <w:color w:val="000000"/>
                <w:sz w:val="16"/>
                <w:szCs w:val="16"/>
                <w:lang w:eastAsia="en-GB"/>
              </w:rPr>
            </w:pPr>
          </w:p>
        </w:tc>
        <w:tc>
          <w:tcPr>
            <w:tcW w:w="2439" w:type="dxa"/>
            <w:gridSpan w:val="3"/>
            <w:shd w:val="clear" w:color="auto" w:fill="auto"/>
            <w:noWrap/>
          </w:tcPr>
          <w:p w14:paraId="771783C4" w14:textId="77777777" w:rsidR="009B6B98" w:rsidRPr="00496DF7" w:rsidRDefault="009B6B98" w:rsidP="00565083">
            <w:pPr>
              <w:rPr>
                <w:rFonts w:cs="Calibri"/>
                <w:color w:val="000000"/>
                <w:sz w:val="16"/>
                <w:szCs w:val="16"/>
                <w:lang w:eastAsia="en-GB"/>
              </w:rPr>
            </w:pPr>
          </w:p>
        </w:tc>
        <w:tc>
          <w:tcPr>
            <w:tcW w:w="1283" w:type="dxa"/>
            <w:shd w:val="clear" w:color="auto" w:fill="auto"/>
            <w:noWrap/>
          </w:tcPr>
          <w:p w14:paraId="5C26E1CD" w14:textId="77777777" w:rsidR="009B6B98" w:rsidRPr="00AF2FF4" w:rsidRDefault="009B6B98" w:rsidP="00565083">
            <w:pPr>
              <w:rPr>
                <w:rFonts w:cs="Calibri"/>
                <w:color w:val="000000"/>
                <w:sz w:val="16"/>
                <w:szCs w:val="16"/>
                <w:lang w:eastAsia="en-GB"/>
              </w:rPr>
            </w:pPr>
          </w:p>
        </w:tc>
        <w:tc>
          <w:tcPr>
            <w:tcW w:w="1257" w:type="dxa"/>
            <w:gridSpan w:val="2"/>
            <w:shd w:val="clear" w:color="auto" w:fill="auto"/>
            <w:noWrap/>
          </w:tcPr>
          <w:p w14:paraId="5AB16018" w14:textId="77777777" w:rsidR="009B6B98" w:rsidRPr="00496DF7" w:rsidRDefault="009B6B98" w:rsidP="00565083">
            <w:pPr>
              <w:rPr>
                <w:rFonts w:cs="Calibri"/>
                <w:color w:val="000000"/>
                <w:sz w:val="16"/>
                <w:szCs w:val="16"/>
                <w:lang w:eastAsia="en-GB"/>
              </w:rPr>
            </w:pPr>
          </w:p>
        </w:tc>
        <w:tc>
          <w:tcPr>
            <w:tcW w:w="1800" w:type="dxa"/>
            <w:gridSpan w:val="2"/>
            <w:shd w:val="clear" w:color="auto" w:fill="auto"/>
            <w:noWrap/>
          </w:tcPr>
          <w:p w14:paraId="61C064C3" w14:textId="77777777" w:rsidR="009B6B98" w:rsidRPr="00496DF7" w:rsidRDefault="009B6B98" w:rsidP="00565083">
            <w:pPr>
              <w:rPr>
                <w:rFonts w:cs="Calibri"/>
                <w:color w:val="000000"/>
                <w:sz w:val="16"/>
                <w:szCs w:val="16"/>
                <w:lang w:eastAsia="en-GB"/>
              </w:rPr>
            </w:pPr>
          </w:p>
        </w:tc>
        <w:tc>
          <w:tcPr>
            <w:tcW w:w="2294" w:type="dxa"/>
            <w:gridSpan w:val="2"/>
          </w:tcPr>
          <w:p w14:paraId="2CE68A32" w14:textId="77777777" w:rsidR="009B6B98" w:rsidRPr="00AF2FF4" w:rsidRDefault="009B6B98" w:rsidP="00565083">
            <w:pPr>
              <w:rPr>
                <w:rFonts w:cs="Calibri"/>
                <w:color w:val="000000"/>
                <w:sz w:val="16"/>
                <w:szCs w:val="16"/>
                <w:lang w:eastAsia="en-GB"/>
              </w:rPr>
            </w:pPr>
          </w:p>
        </w:tc>
        <w:tc>
          <w:tcPr>
            <w:tcW w:w="2231" w:type="dxa"/>
            <w:shd w:val="clear" w:color="auto" w:fill="auto"/>
            <w:noWrap/>
          </w:tcPr>
          <w:p w14:paraId="23507596" w14:textId="77777777" w:rsidR="009B6B98" w:rsidRPr="00496DF7" w:rsidRDefault="009B6B98" w:rsidP="00565083">
            <w:pPr>
              <w:rPr>
                <w:rFonts w:cs="Calibri"/>
                <w:color w:val="000000"/>
                <w:sz w:val="16"/>
                <w:szCs w:val="16"/>
                <w:lang w:eastAsia="en-GB"/>
              </w:rPr>
            </w:pPr>
          </w:p>
        </w:tc>
      </w:tr>
      <w:tr w:rsidR="009B6B98" w:rsidRPr="00496DF7" w14:paraId="5B36C4F5" w14:textId="77777777" w:rsidTr="00565083">
        <w:trPr>
          <w:trHeight w:val="315"/>
        </w:trPr>
        <w:tc>
          <w:tcPr>
            <w:tcW w:w="284" w:type="dxa"/>
            <w:shd w:val="clear" w:color="auto" w:fill="auto"/>
            <w:noWrap/>
          </w:tcPr>
          <w:p w14:paraId="1B9BAD1D" w14:textId="77777777" w:rsidR="009B6B98" w:rsidRPr="00496DF7" w:rsidRDefault="009B6B98" w:rsidP="00565083">
            <w:pPr>
              <w:rPr>
                <w:rFonts w:ascii="Calibri" w:hAnsi="Calibri" w:cs="Calibri"/>
                <w:color w:val="000000"/>
                <w:sz w:val="16"/>
                <w:szCs w:val="16"/>
                <w:lang w:eastAsia="en-GB"/>
              </w:rPr>
            </w:pPr>
          </w:p>
        </w:tc>
        <w:tc>
          <w:tcPr>
            <w:tcW w:w="3261" w:type="dxa"/>
            <w:gridSpan w:val="2"/>
            <w:shd w:val="clear" w:color="auto" w:fill="auto"/>
            <w:noWrap/>
          </w:tcPr>
          <w:p w14:paraId="3E4CE9A8" w14:textId="77777777" w:rsidR="009B6B98" w:rsidRPr="00496DF7" w:rsidRDefault="009B6B98" w:rsidP="00565083">
            <w:pPr>
              <w:rPr>
                <w:rFonts w:cs="Calibri"/>
                <w:color w:val="000000"/>
                <w:sz w:val="16"/>
                <w:szCs w:val="16"/>
                <w:lang w:eastAsia="en-GB"/>
              </w:rPr>
            </w:pPr>
          </w:p>
        </w:tc>
        <w:tc>
          <w:tcPr>
            <w:tcW w:w="2439" w:type="dxa"/>
            <w:gridSpan w:val="3"/>
            <w:shd w:val="clear" w:color="auto" w:fill="auto"/>
            <w:noWrap/>
          </w:tcPr>
          <w:p w14:paraId="27ACADBF" w14:textId="77777777" w:rsidR="009B6B98" w:rsidRPr="00496DF7" w:rsidRDefault="009B6B98" w:rsidP="00565083">
            <w:pPr>
              <w:rPr>
                <w:rFonts w:cs="Calibri"/>
                <w:color w:val="000000"/>
                <w:sz w:val="16"/>
                <w:szCs w:val="16"/>
                <w:lang w:eastAsia="en-GB"/>
              </w:rPr>
            </w:pPr>
          </w:p>
        </w:tc>
        <w:tc>
          <w:tcPr>
            <w:tcW w:w="1283" w:type="dxa"/>
            <w:shd w:val="clear" w:color="auto" w:fill="auto"/>
            <w:noWrap/>
          </w:tcPr>
          <w:p w14:paraId="26923874" w14:textId="77777777" w:rsidR="009B6B98" w:rsidRPr="00496DF7" w:rsidRDefault="009B6B98" w:rsidP="00565083">
            <w:pPr>
              <w:rPr>
                <w:rFonts w:cs="Calibri"/>
                <w:color w:val="000000"/>
                <w:sz w:val="16"/>
                <w:szCs w:val="16"/>
                <w:lang w:eastAsia="en-GB"/>
              </w:rPr>
            </w:pPr>
          </w:p>
        </w:tc>
        <w:tc>
          <w:tcPr>
            <w:tcW w:w="1257" w:type="dxa"/>
            <w:gridSpan w:val="2"/>
            <w:shd w:val="clear" w:color="auto" w:fill="auto"/>
            <w:noWrap/>
          </w:tcPr>
          <w:p w14:paraId="528C793B" w14:textId="77777777" w:rsidR="009B6B98" w:rsidRPr="00496DF7" w:rsidRDefault="009B6B98" w:rsidP="00565083">
            <w:pPr>
              <w:rPr>
                <w:rFonts w:cs="Calibri"/>
                <w:color w:val="000000"/>
                <w:sz w:val="16"/>
                <w:szCs w:val="16"/>
                <w:lang w:eastAsia="en-GB"/>
              </w:rPr>
            </w:pPr>
          </w:p>
        </w:tc>
        <w:tc>
          <w:tcPr>
            <w:tcW w:w="1800" w:type="dxa"/>
            <w:gridSpan w:val="2"/>
            <w:shd w:val="clear" w:color="auto" w:fill="auto"/>
            <w:noWrap/>
          </w:tcPr>
          <w:p w14:paraId="7213A406" w14:textId="77777777" w:rsidR="009B6B98" w:rsidRPr="00496DF7" w:rsidRDefault="009B6B98" w:rsidP="00565083">
            <w:pPr>
              <w:rPr>
                <w:rFonts w:cs="Calibri"/>
                <w:color w:val="000000"/>
                <w:sz w:val="16"/>
                <w:szCs w:val="16"/>
                <w:lang w:eastAsia="en-GB"/>
              </w:rPr>
            </w:pPr>
          </w:p>
        </w:tc>
        <w:tc>
          <w:tcPr>
            <w:tcW w:w="2294" w:type="dxa"/>
            <w:gridSpan w:val="2"/>
          </w:tcPr>
          <w:p w14:paraId="768860FA" w14:textId="77777777" w:rsidR="009B6B98" w:rsidRPr="00496DF7" w:rsidRDefault="009B6B98" w:rsidP="00565083">
            <w:pPr>
              <w:rPr>
                <w:rFonts w:cs="Calibri"/>
                <w:color w:val="000000"/>
                <w:sz w:val="16"/>
                <w:szCs w:val="16"/>
                <w:lang w:eastAsia="en-GB"/>
              </w:rPr>
            </w:pPr>
          </w:p>
        </w:tc>
        <w:tc>
          <w:tcPr>
            <w:tcW w:w="2231" w:type="dxa"/>
            <w:shd w:val="clear" w:color="auto" w:fill="auto"/>
            <w:noWrap/>
          </w:tcPr>
          <w:p w14:paraId="68FD5F1D" w14:textId="77777777" w:rsidR="009B6B98" w:rsidRPr="00496DF7" w:rsidRDefault="009B6B98" w:rsidP="00565083">
            <w:pPr>
              <w:rPr>
                <w:rFonts w:cs="Calibri"/>
                <w:color w:val="000000"/>
                <w:sz w:val="16"/>
                <w:szCs w:val="16"/>
                <w:lang w:eastAsia="en-GB"/>
              </w:rPr>
            </w:pPr>
          </w:p>
        </w:tc>
      </w:tr>
    </w:tbl>
    <w:p w14:paraId="3FB65DF4" w14:textId="77777777" w:rsidR="009B6B98" w:rsidRDefault="009B6B98"/>
    <w:sectPr w:rsidR="009B6B98" w:rsidSect="009B6B9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yriad Pro SemiCond">
    <w:altName w:val="Calibri"/>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E5898"/>
    <w:multiLevelType w:val="hybridMultilevel"/>
    <w:tmpl w:val="4FD4FC08"/>
    <w:lvl w:ilvl="0" w:tplc="81AE70E2">
      <w:start w:val="1"/>
      <w:numFmt w:val="upperRoman"/>
      <w:pStyle w:val="Titre2"/>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B98"/>
    <w:rsid w:val="00185FC0"/>
    <w:rsid w:val="003C0D8E"/>
    <w:rsid w:val="009B6B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E742"/>
  <w15:chartTrackingRefBased/>
  <w15:docId w15:val="{CD4AE2D3-E011-46B9-AC96-A8EA67B5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B98"/>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9B6B98"/>
    <w:pPr>
      <w:keepNext/>
      <w:keepLines/>
      <w:spacing w:before="480" w:after="120" w:line="276" w:lineRule="auto"/>
      <w:outlineLvl w:val="0"/>
    </w:pPr>
    <w:rPr>
      <w:rFonts w:ascii="Franklin Gothic Medium" w:eastAsia="MS Gothic" w:hAnsi="Franklin Gothic Medium"/>
      <w:color w:val="1A4066"/>
      <w:sz w:val="36"/>
      <w:szCs w:val="44"/>
      <w:lang w:val="en-US" w:eastAsia="en-US"/>
    </w:rPr>
  </w:style>
  <w:style w:type="paragraph" w:styleId="Titre2">
    <w:name w:val="heading 2"/>
    <w:basedOn w:val="Normal"/>
    <w:next w:val="Normal"/>
    <w:link w:val="Titre2Car"/>
    <w:autoRedefine/>
    <w:uiPriority w:val="9"/>
    <w:qFormat/>
    <w:rsid w:val="009B6B98"/>
    <w:pPr>
      <w:keepNext/>
      <w:keepLines/>
      <w:widowControl w:val="0"/>
      <w:numPr>
        <w:numId w:val="1"/>
      </w:numPr>
      <w:suppressAutoHyphens/>
      <w:spacing w:before="480" w:after="240" w:line="264" w:lineRule="auto"/>
      <w:outlineLvl w:val="1"/>
    </w:pPr>
    <w:rPr>
      <w:rFonts w:ascii="Franklin Gothic Book" w:eastAsia="Cambria" w:hAnsi="Franklin Gothic Book" w:cs="Calibri"/>
      <w:bCs/>
      <w:color w:val="165B89"/>
      <w:sz w:val="28"/>
      <w:szCs w:val="26"/>
      <w:lang w:val="en-US" w:eastAsia="en-US"/>
    </w:rPr>
  </w:style>
  <w:style w:type="paragraph" w:styleId="Titre3">
    <w:name w:val="heading 3"/>
    <w:basedOn w:val="Normal"/>
    <w:next w:val="Normal"/>
    <w:link w:val="Titre3Car"/>
    <w:uiPriority w:val="9"/>
    <w:qFormat/>
    <w:rsid w:val="009B6B98"/>
    <w:pPr>
      <w:keepNext/>
      <w:keepLines/>
      <w:spacing w:before="360" w:after="240"/>
      <w:outlineLvl w:val="2"/>
    </w:pPr>
    <w:rPr>
      <w:rFonts w:ascii="Franklin Gothic Book" w:eastAsia="MS Gothic" w:hAnsi="Franklin Gothic Book"/>
      <w:color w:val="243F60"/>
      <w:sz w:val="22"/>
      <w:lang w:val="en-US" w:eastAsia="en-US"/>
    </w:rPr>
  </w:style>
  <w:style w:type="paragraph" w:styleId="Titre4">
    <w:name w:val="heading 4"/>
    <w:basedOn w:val="Normal"/>
    <w:next w:val="Normal"/>
    <w:link w:val="Titre4Car"/>
    <w:uiPriority w:val="9"/>
    <w:rsid w:val="009B6B98"/>
    <w:pPr>
      <w:keepNext/>
      <w:keepLines/>
      <w:spacing w:before="40" w:after="240"/>
      <w:outlineLvl w:val="3"/>
    </w:pPr>
    <w:rPr>
      <w:rFonts w:ascii="Calibri" w:eastAsia="MS Gothic" w:hAnsi="Calibri"/>
      <w:i/>
      <w:iCs/>
      <w:color w:val="365F91"/>
      <w:sz w:val="22"/>
      <w:lang w:val="en-US" w:eastAsia="en-US"/>
    </w:rPr>
  </w:style>
  <w:style w:type="paragraph" w:styleId="Titre5">
    <w:name w:val="heading 5"/>
    <w:basedOn w:val="Normal"/>
    <w:next w:val="Normal"/>
    <w:link w:val="Titre5Car"/>
    <w:uiPriority w:val="9"/>
    <w:rsid w:val="009B6B98"/>
    <w:pPr>
      <w:keepNext/>
      <w:keepLines/>
      <w:spacing w:before="40" w:after="240"/>
      <w:outlineLvl w:val="4"/>
    </w:pPr>
    <w:rPr>
      <w:rFonts w:ascii="Calibri" w:eastAsia="MS Gothic" w:hAnsi="Calibri"/>
      <w:color w:val="365F91"/>
      <w:sz w:val="22"/>
      <w:lang w:val="en-US" w:eastAsia="en-US"/>
    </w:rPr>
  </w:style>
  <w:style w:type="paragraph" w:styleId="Titre6">
    <w:name w:val="heading 6"/>
    <w:basedOn w:val="Normal"/>
    <w:next w:val="Normal"/>
    <w:link w:val="Titre6Car"/>
    <w:uiPriority w:val="9"/>
    <w:rsid w:val="009B6B98"/>
    <w:pPr>
      <w:keepNext/>
      <w:keepLines/>
      <w:spacing w:before="40" w:after="240"/>
      <w:outlineLvl w:val="5"/>
    </w:pPr>
    <w:rPr>
      <w:rFonts w:ascii="Calibri" w:eastAsia="MS Gothic" w:hAnsi="Calibri"/>
      <w:color w:val="243F60"/>
      <w:sz w:val="22"/>
      <w:lang w:val="en-US" w:eastAsia="en-US"/>
    </w:rPr>
  </w:style>
  <w:style w:type="paragraph" w:styleId="Titre7">
    <w:name w:val="heading 7"/>
    <w:basedOn w:val="Normal"/>
    <w:next w:val="Normal"/>
    <w:link w:val="Titre7Car"/>
    <w:uiPriority w:val="9"/>
    <w:rsid w:val="009B6B98"/>
    <w:pPr>
      <w:keepNext/>
      <w:keepLines/>
      <w:spacing w:before="40" w:after="240"/>
      <w:outlineLvl w:val="6"/>
    </w:pPr>
    <w:rPr>
      <w:rFonts w:ascii="Calibri" w:eastAsia="MS Gothic" w:hAnsi="Calibri"/>
      <w:i/>
      <w:iCs/>
      <w:color w:val="243F60"/>
      <w:sz w:val="22"/>
      <w:lang w:val="en-US" w:eastAsia="en-US"/>
    </w:rPr>
  </w:style>
  <w:style w:type="paragraph" w:styleId="Titre8">
    <w:name w:val="heading 8"/>
    <w:basedOn w:val="Normal"/>
    <w:next w:val="Normal"/>
    <w:link w:val="Titre8Car"/>
    <w:uiPriority w:val="9"/>
    <w:rsid w:val="009B6B98"/>
    <w:pPr>
      <w:keepNext/>
      <w:keepLines/>
      <w:spacing w:before="40" w:after="240"/>
      <w:outlineLvl w:val="7"/>
    </w:pPr>
    <w:rPr>
      <w:rFonts w:ascii="Calibri" w:eastAsia="MS Gothic" w:hAnsi="Calibri"/>
      <w:color w:val="272727"/>
      <w:sz w:val="21"/>
      <w:szCs w:val="21"/>
      <w:lang w:val="en-US" w:eastAsia="en-US"/>
    </w:rPr>
  </w:style>
  <w:style w:type="paragraph" w:styleId="Titre9">
    <w:name w:val="heading 9"/>
    <w:basedOn w:val="Normal"/>
    <w:next w:val="Normal"/>
    <w:link w:val="Titre9Car"/>
    <w:uiPriority w:val="9"/>
    <w:rsid w:val="009B6B98"/>
    <w:pPr>
      <w:keepNext/>
      <w:keepLines/>
      <w:spacing w:before="40" w:after="240"/>
      <w:outlineLvl w:val="8"/>
    </w:pPr>
    <w:rPr>
      <w:rFonts w:ascii="Calibri" w:eastAsia="MS Gothic" w:hAnsi="Calibri"/>
      <w:i/>
      <w:iCs/>
      <w:color w:val="272727"/>
      <w:sz w:val="21"/>
      <w:szCs w:val="21"/>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6B98"/>
    <w:rPr>
      <w:rFonts w:ascii="Franklin Gothic Medium" w:eastAsia="MS Gothic" w:hAnsi="Franklin Gothic Medium" w:cs="Times New Roman"/>
      <w:color w:val="1A4066"/>
      <w:sz w:val="36"/>
      <w:szCs w:val="44"/>
      <w:lang w:val="en-US"/>
    </w:rPr>
  </w:style>
  <w:style w:type="character" w:customStyle="1" w:styleId="Titre2Car">
    <w:name w:val="Titre 2 Car"/>
    <w:basedOn w:val="Policepardfaut"/>
    <w:link w:val="Titre2"/>
    <w:uiPriority w:val="9"/>
    <w:rsid w:val="009B6B98"/>
    <w:rPr>
      <w:rFonts w:ascii="Franklin Gothic Book" w:eastAsia="Cambria" w:hAnsi="Franklin Gothic Book" w:cs="Calibri"/>
      <w:bCs/>
      <w:color w:val="165B89"/>
      <w:sz w:val="28"/>
      <w:szCs w:val="26"/>
      <w:lang w:val="en-US"/>
    </w:rPr>
  </w:style>
  <w:style w:type="character" w:customStyle="1" w:styleId="Titre3Car">
    <w:name w:val="Titre 3 Car"/>
    <w:basedOn w:val="Policepardfaut"/>
    <w:link w:val="Titre3"/>
    <w:uiPriority w:val="9"/>
    <w:rsid w:val="009B6B98"/>
    <w:rPr>
      <w:rFonts w:ascii="Franklin Gothic Book" w:eastAsia="MS Gothic" w:hAnsi="Franklin Gothic Book" w:cs="Times New Roman"/>
      <w:color w:val="243F60"/>
      <w:szCs w:val="24"/>
      <w:lang w:val="en-US"/>
    </w:rPr>
  </w:style>
  <w:style w:type="character" w:customStyle="1" w:styleId="Titre4Car">
    <w:name w:val="Titre 4 Car"/>
    <w:basedOn w:val="Policepardfaut"/>
    <w:link w:val="Titre4"/>
    <w:uiPriority w:val="9"/>
    <w:rsid w:val="009B6B98"/>
    <w:rPr>
      <w:rFonts w:ascii="Calibri" w:eastAsia="MS Gothic" w:hAnsi="Calibri" w:cs="Times New Roman"/>
      <w:i/>
      <w:iCs/>
      <w:color w:val="365F91"/>
      <w:szCs w:val="24"/>
      <w:lang w:val="en-US"/>
    </w:rPr>
  </w:style>
  <w:style w:type="character" w:customStyle="1" w:styleId="Titre5Car">
    <w:name w:val="Titre 5 Car"/>
    <w:basedOn w:val="Policepardfaut"/>
    <w:link w:val="Titre5"/>
    <w:uiPriority w:val="9"/>
    <w:rsid w:val="009B6B98"/>
    <w:rPr>
      <w:rFonts w:ascii="Calibri" w:eastAsia="MS Gothic" w:hAnsi="Calibri" w:cs="Times New Roman"/>
      <w:color w:val="365F91"/>
      <w:szCs w:val="24"/>
      <w:lang w:val="en-US"/>
    </w:rPr>
  </w:style>
  <w:style w:type="character" w:customStyle="1" w:styleId="Titre6Car">
    <w:name w:val="Titre 6 Car"/>
    <w:basedOn w:val="Policepardfaut"/>
    <w:link w:val="Titre6"/>
    <w:uiPriority w:val="9"/>
    <w:rsid w:val="009B6B98"/>
    <w:rPr>
      <w:rFonts w:ascii="Calibri" w:eastAsia="MS Gothic" w:hAnsi="Calibri" w:cs="Times New Roman"/>
      <w:color w:val="243F60"/>
      <w:szCs w:val="24"/>
      <w:lang w:val="en-US"/>
    </w:rPr>
  </w:style>
  <w:style w:type="character" w:customStyle="1" w:styleId="Titre7Car">
    <w:name w:val="Titre 7 Car"/>
    <w:basedOn w:val="Policepardfaut"/>
    <w:link w:val="Titre7"/>
    <w:uiPriority w:val="9"/>
    <w:rsid w:val="009B6B98"/>
    <w:rPr>
      <w:rFonts w:ascii="Calibri" w:eastAsia="MS Gothic" w:hAnsi="Calibri" w:cs="Times New Roman"/>
      <w:i/>
      <w:iCs/>
      <w:color w:val="243F60"/>
      <w:szCs w:val="24"/>
      <w:lang w:val="en-US"/>
    </w:rPr>
  </w:style>
  <w:style w:type="character" w:customStyle="1" w:styleId="Titre8Car">
    <w:name w:val="Titre 8 Car"/>
    <w:basedOn w:val="Policepardfaut"/>
    <w:link w:val="Titre8"/>
    <w:uiPriority w:val="9"/>
    <w:rsid w:val="009B6B98"/>
    <w:rPr>
      <w:rFonts w:ascii="Calibri" w:eastAsia="MS Gothic" w:hAnsi="Calibri" w:cs="Times New Roman"/>
      <w:color w:val="272727"/>
      <w:sz w:val="21"/>
      <w:szCs w:val="21"/>
      <w:lang w:val="en-US"/>
    </w:rPr>
  </w:style>
  <w:style w:type="character" w:customStyle="1" w:styleId="Titre9Car">
    <w:name w:val="Titre 9 Car"/>
    <w:basedOn w:val="Policepardfaut"/>
    <w:link w:val="Titre9"/>
    <w:uiPriority w:val="9"/>
    <w:rsid w:val="009B6B98"/>
    <w:rPr>
      <w:rFonts w:ascii="Calibri" w:eastAsia="MS Gothic" w:hAnsi="Calibri" w:cs="Times New Roman"/>
      <w:i/>
      <w:iCs/>
      <w:color w:val="272727"/>
      <w:sz w:val="21"/>
      <w:szCs w:val="21"/>
      <w:lang w:val="en-US"/>
    </w:rPr>
  </w:style>
  <w:style w:type="paragraph" w:styleId="En-tte">
    <w:name w:val="header"/>
    <w:basedOn w:val="Normal"/>
    <w:link w:val="En-tteCar"/>
    <w:uiPriority w:val="99"/>
    <w:rsid w:val="009B6B98"/>
    <w:pPr>
      <w:tabs>
        <w:tab w:val="center" w:pos="4320"/>
        <w:tab w:val="right" w:pos="8640"/>
      </w:tabs>
      <w:spacing w:before="240" w:after="240"/>
    </w:pPr>
    <w:rPr>
      <w:rFonts w:ascii="Franklin Gothic Book" w:eastAsia="Cambria" w:hAnsi="Franklin Gothic Book" w:cs="Arial"/>
      <w:sz w:val="22"/>
      <w:lang w:val="en-US" w:eastAsia="en-US"/>
    </w:rPr>
  </w:style>
  <w:style w:type="character" w:customStyle="1" w:styleId="En-tteCar">
    <w:name w:val="En-tête Car"/>
    <w:basedOn w:val="Policepardfaut"/>
    <w:link w:val="En-tte"/>
    <w:uiPriority w:val="99"/>
    <w:rsid w:val="009B6B98"/>
    <w:rPr>
      <w:rFonts w:ascii="Franklin Gothic Book" w:eastAsia="Cambria" w:hAnsi="Franklin Gothic Book" w:cs="Arial"/>
      <w:szCs w:val="24"/>
      <w:lang w:val="en-US"/>
    </w:rPr>
  </w:style>
  <w:style w:type="paragraph" w:styleId="Pieddepage">
    <w:name w:val="footer"/>
    <w:aliases w:val="x Footer"/>
    <w:basedOn w:val="Normal"/>
    <w:link w:val="PieddepageCar"/>
    <w:uiPriority w:val="99"/>
    <w:rsid w:val="009B6B98"/>
    <w:pPr>
      <w:tabs>
        <w:tab w:val="center" w:pos="4320"/>
        <w:tab w:val="right" w:pos="8640"/>
      </w:tabs>
      <w:spacing w:before="240" w:after="240"/>
    </w:pPr>
    <w:rPr>
      <w:rFonts w:ascii="Franklin Gothic Book" w:eastAsia="Cambria" w:hAnsi="Franklin Gothic Book" w:cs="Arial"/>
      <w:sz w:val="22"/>
      <w:lang w:val="en-US" w:eastAsia="en-US"/>
    </w:rPr>
  </w:style>
  <w:style w:type="character" w:customStyle="1" w:styleId="PieddepageCar">
    <w:name w:val="Pied de page Car"/>
    <w:aliases w:val="x Footer Car"/>
    <w:basedOn w:val="Policepardfaut"/>
    <w:link w:val="Pieddepage"/>
    <w:uiPriority w:val="99"/>
    <w:rsid w:val="009B6B98"/>
    <w:rPr>
      <w:rFonts w:ascii="Franklin Gothic Book" w:eastAsia="Cambria" w:hAnsi="Franklin Gothic Book" w:cs="Arial"/>
      <w:szCs w:val="24"/>
      <w:lang w:val="en-US"/>
    </w:rPr>
  </w:style>
  <w:style w:type="paragraph" w:styleId="Titre">
    <w:name w:val="Title"/>
    <w:next w:val="Normal"/>
    <w:link w:val="TitreCar"/>
    <w:uiPriority w:val="10"/>
    <w:qFormat/>
    <w:rsid w:val="009B6B98"/>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basedOn w:val="Policepardfaut"/>
    <w:link w:val="Titre"/>
    <w:uiPriority w:val="10"/>
    <w:rsid w:val="009B6B98"/>
    <w:rPr>
      <w:rFonts w:ascii="Franklin Gothic Medium" w:eastAsia="MS Gothic" w:hAnsi="Franklin Gothic Medium" w:cs="Times New Roman"/>
      <w:spacing w:val="-10"/>
      <w:kern w:val="28"/>
      <w:sz w:val="40"/>
      <w:szCs w:val="52"/>
      <w:lang w:val="en-US"/>
    </w:rPr>
  </w:style>
  <w:style w:type="paragraph" w:customStyle="1" w:styleId="MediumGrid21">
    <w:name w:val="Medium Grid 21"/>
    <w:basedOn w:val="Titre"/>
    <w:link w:val="MediumGrid2Char"/>
    <w:uiPriority w:val="1"/>
    <w:qFormat/>
    <w:rsid w:val="009B6B98"/>
    <w:pPr>
      <w:pBdr>
        <w:bottom w:val="single" w:sz="8" w:space="4" w:color="4EB7E2"/>
      </w:pBdr>
      <w:spacing w:before="360"/>
    </w:pPr>
    <w:rPr>
      <w:sz w:val="44"/>
      <w:szCs w:val="44"/>
    </w:rPr>
  </w:style>
  <w:style w:type="character" w:customStyle="1" w:styleId="MediumGrid2Char">
    <w:name w:val="Medium Grid 2 Char"/>
    <w:link w:val="MediumGrid21"/>
    <w:uiPriority w:val="1"/>
    <w:rsid w:val="009B6B98"/>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9B6B98"/>
    <w:pPr>
      <w:spacing w:before="240" w:after="240"/>
    </w:pPr>
    <w:rPr>
      <w:rFonts w:ascii="Lucida Grande" w:eastAsia="Cambria" w:hAnsi="Lucida Grande" w:cs="Lucida Grande"/>
      <w:sz w:val="18"/>
      <w:szCs w:val="18"/>
      <w:lang w:val="en-US" w:eastAsia="en-US"/>
    </w:rPr>
  </w:style>
  <w:style w:type="character" w:customStyle="1" w:styleId="TextedebullesCar">
    <w:name w:val="Texte de bulles Car"/>
    <w:basedOn w:val="Policepardfaut"/>
    <w:link w:val="Textedebulles"/>
    <w:uiPriority w:val="99"/>
    <w:semiHidden/>
    <w:rsid w:val="009B6B98"/>
    <w:rPr>
      <w:rFonts w:ascii="Lucida Grande" w:eastAsia="Cambria" w:hAnsi="Lucida Grande" w:cs="Lucida Grande"/>
      <w:sz w:val="18"/>
      <w:szCs w:val="18"/>
      <w:lang w:val="en-US"/>
    </w:rPr>
  </w:style>
  <w:style w:type="character" w:styleId="Lienhypertexte">
    <w:name w:val="Hyperlink"/>
    <w:uiPriority w:val="99"/>
    <w:unhideWhenUsed/>
    <w:rsid w:val="009B6B98"/>
    <w:rPr>
      <w:color w:val="0000FF"/>
      <w:u w:val="single"/>
    </w:rPr>
  </w:style>
  <w:style w:type="character" w:customStyle="1" w:styleId="apple-converted-space">
    <w:name w:val="apple-converted-space"/>
    <w:rsid w:val="009B6B98"/>
  </w:style>
  <w:style w:type="paragraph" w:customStyle="1" w:styleId="ColorfulList-Accent11">
    <w:name w:val="Colorful List - Accent 11"/>
    <w:basedOn w:val="Normal"/>
    <w:uiPriority w:val="34"/>
    <w:rsid w:val="009B6B98"/>
    <w:pPr>
      <w:spacing w:before="240" w:after="240"/>
      <w:ind w:left="720"/>
      <w:contextualSpacing/>
    </w:pPr>
    <w:rPr>
      <w:rFonts w:ascii="Franklin Gothic Book" w:eastAsia="Cambria" w:hAnsi="Franklin Gothic Book" w:cs="Arial"/>
      <w:sz w:val="22"/>
      <w:lang w:val="en-US" w:eastAsia="en-US"/>
    </w:rPr>
  </w:style>
  <w:style w:type="character" w:styleId="Marquedecommentaire">
    <w:name w:val="annotation reference"/>
    <w:uiPriority w:val="99"/>
    <w:semiHidden/>
    <w:unhideWhenUsed/>
    <w:rsid w:val="009B6B98"/>
    <w:rPr>
      <w:sz w:val="16"/>
      <w:szCs w:val="16"/>
    </w:rPr>
  </w:style>
  <w:style w:type="paragraph" w:styleId="Commentaire">
    <w:name w:val="annotation text"/>
    <w:basedOn w:val="Normal"/>
    <w:link w:val="CommentaireCar"/>
    <w:uiPriority w:val="99"/>
    <w:unhideWhenUsed/>
    <w:rsid w:val="009B6B98"/>
    <w:pPr>
      <w:spacing w:before="240" w:after="240"/>
    </w:pPr>
    <w:rPr>
      <w:rFonts w:ascii="Franklin Gothic Book" w:eastAsia="Cambria" w:hAnsi="Franklin Gothic Book" w:cs="Arial"/>
      <w:sz w:val="20"/>
      <w:szCs w:val="20"/>
      <w:lang w:val="en-US" w:eastAsia="en-US"/>
    </w:rPr>
  </w:style>
  <w:style w:type="character" w:customStyle="1" w:styleId="CommentaireCar">
    <w:name w:val="Commentaire Car"/>
    <w:basedOn w:val="Policepardfaut"/>
    <w:link w:val="Commentaire"/>
    <w:uiPriority w:val="99"/>
    <w:rsid w:val="009B6B98"/>
    <w:rPr>
      <w:rFonts w:ascii="Franklin Gothic Book" w:eastAsia="Cambria" w:hAnsi="Franklin Gothic Book" w:cs="Arial"/>
      <w:sz w:val="20"/>
      <w:szCs w:val="20"/>
      <w:lang w:val="en-US"/>
    </w:rPr>
  </w:style>
  <w:style w:type="paragraph" w:styleId="Objetducommentaire">
    <w:name w:val="annotation subject"/>
    <w:basedOn w:val="Commentaire"/>
    <w:next w:val="Commentaire"/>
    <w:link w:val="ObjetducommentaireCar"/>
    <w:uiPriority w:val="99"/>
    <w:semiHidden/>
    <w:unhideWhenUsed/>
    <w:rsid w:val="009B6B98"/>
    <w:rPr>
      <w:b/>
      <w:bCs/>
    </w:rPr>
  </w:style>
  <w:style w:type="character" w:customStyle="1" w:styleId="ObjetducommentaireCar">
    <w:name w:val="Objet du commentaire Car"/>
    <w:basedOn w:val="CommentaireCar"/>
    <w:link w:val="Objetducommentaire"/>
    <w:uiPriority w:val="99"/>
    <w:semiHidden/>
    <w:rsid w:val="009B6B98"/>
    <w:rPr>
      <w:rFonts w:ascii="Franklin Gothic Book" w:eastAsia="Cambria" w:hAnsi="Franklin Gothic Book" w:cs="Arial"/>
      <w:b/>
      <w:bCs/>
      <w:sz w:val="20"/>
      <w:szCs w:val="20"/>
      <w:lang w:val="en-US"/>
    </w:rPr>
  </w:style>
  <w:style w:type="paragraph" w:customStyle="1" w:styleId="ColorfulShading-Accent11">
    <w:name w:val="Colorful Shading - Accent 11"/>
    <w:hidden/>
    <w:uiPriority w:val="99"/>
    <w:semiHidden/>
    <w:rsid w:val="009B6B98"/>
    <w:pPr>
      <w:spacing w:after="0" w:line="240" w:lineRule="auto"/>
    </w:pPr>
    <w:rPr>
      <w:rFonts w:ascii="Myriad Pro SemiCond" w:eastAsia="Times New Roman" w:hAnsi="Myriad Pro SemiCond" w:cs="Times New Roman"/>
      <w:lang w:val="en-GB" w:bidi="en-US"/>
    </w:rPr>
  </w:style>
  <w:style w:type="paragraph" w:styleId="Lgende">
    <w:name w:val="caption"/>
    <w:basedOn w:val="Normal"/>
    <w:next w:val="Normal"/>
    <w:uiPriority w:val="35"/>
    <w:rsid w:val="009B6B98"/>
    <w:pPr>
      <w:spacing w:before="240" w:after="200"/>
    </w:pPr>
    <w:rPr>
      <w:rFonts w:ascii="Franklin Gothic Book" w:eastAsia="Cambria" w:hAnsi="Franklin Gothic Book" w:cs="Arial"/>
      <w:i/>
      <w:iCs/>
      <w:color w:val="1F497D"/>
      <w:sz w:val="18"/>
      <w:szCs w:val="18"/>
      <w:lang w:val="en-US" w:eastAsia="en-US"/>
    </w:rPr>
  </w:style>
  <w:style w:type="character" w:styleId="Numrodepage">
    <w:name w:val="page number"/>
    <w:basedOn w:val="Policepardfaut"/>
    <w:uiPriority w:val="99"/>
    <w:semiHidden/>
    <w:unhideWhenUsed/>
    <w:rsid w:val="009B6B98"/>
  </w:style>
  <w:style w:type="character" w:styleId="Lienhypertextesuivivisit">
    <w:name w:val="FollowedHyperlink"/>
    <w:uiPriority w:val="99"/>
    <w:semiHidden/>
    <w:unhideWhenUsed/>
    <w:rsid w:val="009B6B98"/>
    <w:rPr>
      <w:color w:val="800080"/>
      <w:u w:val="single"/>
    </w:rPr>
  </w:style>
  <w:style w:type="character" w:customStyle="1" w:styleId="Mentionnonrsolue1">
    <w:name w:val="Mention non résolue1"/>
    <w:uiPriority w:val="99"/>
    <w:semiHidden/>
    <w:unhideWhenUsed/>
    <w:rsid w:val="009B6B98"/>
    <w:rPr>
      <w:color w:val="605E5C"/>
      <w:shd w:val="clear" w:color="auto" w:fill="E1DFDD"/>
    </w:rPr>
  </w:style>
  <w:style w:type="paragraph" w:styleId="Sous-titre">
    <w:name w:val="Subtitle"/>
    <w:next w:val="Normal"/>
    <w:link w:val="Sous-titreCar"/>
    <w:uiPriority w:val="11"/>
    <w:rsid w:val="009B6B98"/>
    <w:pPr>
      <w:numPr>
        <w:ilvl w:val="1"/>
      </w:numPr>
      <w:spacing w:line="240" w:lineRule="auto"/>
    </w:pPr>
    <w:rPr>
      <w:rFonts w:ascii="Cambria" w:eastAsia="MS Mincho" w:hAnsi="Cambria" w:cs="Arial"/>
      <w:color w:val="5A5A5A"/>
      <w:spacing w:val="15"/>
      <w:lang w:val="en-US"/>
    </w:rPr>
  </w:style>
  <w:style w:type="character" w:customStyle="1" w:styleId="Sous-titreCar">
    <w:name w:val="Sous-titre Car"/>
    <w:basedOn w:val="Policepardfaut"/>
    <w:link w:val="Sous-titre"/>
    <w:uiPriority w:val="11"/>
    <w:rsid w:val="009B6B98"/>
    <w:rPr>
      <w:rFonts w:ascii="Cambria" w:eastAsia="MS Mincho" w:hAnsi="Cambria" w:cs="Arial"/>
      <w:color w:val="5A5A5A"/>
      <w:spacing w:val="15"/>
      <w:lang w:val="en-US"/>
    </w:rPr>
  </w:style>
  <w:style w:type="character" w:styleId="lev">
    <w:name w:val="Strong"/>
    <w:uiPriority w:val="22"/>
    <w:qFormat/>
    <w:rsid w:val="009B6B98"/>
    <w:rPr>
      <w:b/>
      <w:bCs/>
    </w:rPr>
  </w:style>
  <w:style w:type="character" w:styleId="Accentuation">
    <w:name w:val="Emphasis"/>
    <w:uiPriority w:val="20"/>
    <w:rsid w:val="009B6B98"/>
    <w:rPr>
      <w:i/>
      <w:iCs/>
    </w:rPr>
  </w:style>
  <w:style w:type="paragraph" w:customStyle="1" w:styleId="ColorfulGrid-Accent11">
    <w:name w:val="Colorful Grid - Accent 11"/>
    <w:basedOn w:val="Normal"/>
    <w:next w:val="Normal"/>
    <w:link w:val="ColorfulGrid-Accent1Char"/>
    <w:uiPriority w:val="29"/>
    <w:rsid w:val="009B6B98"/>
    <w:pPr>
      <w:spacing w:before="200" w:after="160"/>
      <w:ind w:left="864" w:right="864"/>
      <w:jc w:val="center"/>
    </w:pPr>
    <w:rPr>
      <w:rFonts w:ascii="Franklin Gothic Book" w:eastAsia="Cambria" w:hAnsi="Franklin Gothic Book" w:cs="Arial"/>
      <w:i/>
      <w:iCs/>
      <w:color w:val="404040"/>
      <w:sz w:val="22"/>
      <w:lang w:val="en-US" w:eastAsia="en-US"/>
    </w:rPr>
  </w:style>
  <w:style w:type="character" w:customStyle="1" w:styleId="ColorfulGrid-Accent1Char">
    <w:name w:val="Colorful Grid - Accent 1 Char"/>
    <w:link w:val="ColorfulGrid-Accent11"/>
    <w:uiPriority w:val="29"/>
    <w:rsid w:val="009B6B98"/>
    <w:rPr>
      <w:rFonts w:ascii="Franklin Gothic Book" w:eastAsia="Cambria" w:hAnsi="Franklin Gothic Book" w:cs="Arial"/>
      <w:i/>
      <w:iCs/>
      <w:color w:val="404040"/>
      <w:szCs w:val="24"/>
      <w:lang w:val="en-US"/>
    </w:rPr>
  </w:style>
  <w:style w:type="paragraph" w:customStyle="1" w:styleId="LightShading-Accent21">
    <w:name w:val="Light Shading - Accent 21"/>
    <w:basedOn w:val="Normal"/>
    <w:next w:val="Normal"/>
    <w:link w:val="LightShading-Accent2Char"/>
    <w:uiPriority w:val="30"/>
    <w:rsid w:val="009B6B98"/>
    <w:pPr>
      <w:pBdr>
        <w:top w:val="single" w:sz="4" w:space="10" w:color="4F81BD"/>
        <w:bottom w:val="single" w:sz="4" w:space="10" w:color="4F81BD"/>
      </w:pBdr>
      <w:spacing w:before="360" w:after="360"/>
      <w:ind w:left="864" w:right="864"/>
      <w:jc w:val="center"/>
    </w:pPr>
    <w:rPr>
      <w:rFonts w:ascii="Franklin Gothic Book" w:eastAsia="Cambria" w:hAnsi="Franklin Gothic Book" w:cs="Arial"/>
      <w:i/>
      <w:iCs/>
      <w:color w:val="4F81BD"/>
      <w:sz w:val="22"/>
      <w:lang w:val="en-US" w:eastAsia="en-US"/>
    </w:rPr>
  </w:style>
  <w:style w:type="character" w:customStyle="1" w:styleId="LightShading-Accent2Char">
    <w:name w:val="Light Shading - Accent 2 Char"/>
    <w:link w:val="LightShading-Accent21"/>
    <w:uiPriority w:val="30"/>
    <w:rsid w:val="009B6B98"/>
    <w:rPr>
      <w:rFonts w:ascii="Franklin Gothic Book" w:eastAsia="Cambria" w:hAnsi="Franklin Gothic Book" w:cs="Arial"/>
      <w:i/>
      <w:iCs/>
      <w:color w:val="4F81BD"/>
      <w:szCs w:val="24"/>
      <w:lang w:val="en-US"/>
    </w:rPr>
  </w:style>
  <w:style w:type="character" w:customStyle="1" w:styleId="PlainTable31">
    <w:name w:val="Plain Table 31"/>
    <w:uiPriority w:val="19"/>
    <w:rsid w:val="009B6B98"/>
    <w:rPr>
      <w:i/>
      <w:iCs/>
      <w:color w:val="404040"/>
    </w:rPr>
  </w:style>
  <w:style w:type="character" w:customStyle="1" w:styleId="PlainTable41">
    <w:name w:val="Plain Table 41"/>
    <w:uiPriority w:val="21"/>
    <w:rsid w:val="009B6B98"/>
    <w:rPr>
      <w:i/>
      <w:iCs/>
      <w:color w:val="4F81BD"/>
    </w:rPr>
  </w:style>
  <w:style w:type="character" w:customStyle="1" w:styleId="PlainTable51">
    <w:name w:val="Plain Table 51"/>
    <w:uiPriority w:val="31"/>
    <w:rsid w:val="009B6B98"/>
    <w:rPr>
      <w:smallCaps/>
      <w:color w:val="5A5A5A"/>
    </w:rPr>
  </w:style>
  <w:style w:type="character" w:customStyle="1" w:styleId="TableGridLight1">
    <w:name w:val="Table Grid Light1"/>
    <w:uiPriority w:val="32"/>
    <w:rsid w:val="009B6B98"/>
    <w:rPr>
      <w:b/>
      <w:bCs/>
      <w:smallCaps/>
      <w:color w:val="4F81BD"/>
      <w:spacing w:val="5"/>
    </w:rPr>
  </w:style>
  <w:style w:type="character" w:customStyle="1" w:styleId="GridTable1Light1">
    <w:name w:val="Grid Table 1 Light1"/>
    <w:uiPriority w:val="33"/>
    <w:rsid w:val="009B6B98"/>
    <w:rPr>
      <w:b/>
      <w:bCs/>
      <w:i/>
      <w:iCs/>
      <w:spacing w:val="5"/>
    </w:rPr>
  </w:style>
  <w:style w:type="paragraph" w:customStyle="1" w:styleId="GridTable31">
    <w:name w:val="Grid Table 31"/>
    <w:basedOn w:val="Titre1"/>
    <w:next w:val="Normal"/>
    <w:uiPriority w:val="39"/>
    <w:semiHidden/>
    <w:unhideWhenUsed/>
    <w:qFormat/>
    <w:rsid w:val="009B6B98"/>
    <w:pPr>
      <w:outlineLvl w:val="9"/>
    </w:pPr>
  </w:style>
  <w:style w:type="paragraph" w:customStyle="1" w:styleId="Header2">
    <w:name w:val="Header 2"/>
    <w:rsid w:val="009B6B98"/>
    <w:pPr>
      <w:spacing w:after="0" w:line="240" w:lineRule="auto"/>
      <w:jc w:val="right"/>
    </w:pPr>
    <w:rPr>
      <w:rFonts w:ascii="Franklin Gothic Book" w:eastAsia="Cambria" w:hAnsi="Franklin Gothic Book" w:cs="Arial"/>
      <w:noProof/>
      <w:sz w:val="20"/>
      <w:szCs w:val="20"/>
      <w:lang w:val="en-US"/>
    </w:rPr>
  </w:style>
  <w:style w:type="paragraph" w:customStyle="1" w:styleId="Headerbyline">
    <w:name w:val="Header byline"/>
    <w:basedOn w:val="Normal"/>
    <w:rsid w:val="009B6B98"/>
    <w:pPr>
      <w:spacing w:before="240" w:after="240"/>
      <w:jc w:val="right"/>
    </w:pPr>
    <w:rPr>
      <w:rFonts w:ascii="Franklin Gothic Book" w:eastAsia="Cambria" w:hAnsi="Franklin Gothic Book" w:cs="Arial"/>
      <w:noProof/>
      <w:sz w:val="20"/>
      <w:szCs w:val="20"/>
      <w:lang w:val="en-US" w:eastAsia="en-US"/>
    </w:rPr>
  </w:style>
  <w:style w:type="paragraph" w:customStyle="1" w:styleId="Style1">
    <w:name w:val="Style1"/>
    <w:basedOn w:val="Normal"/>
    <w:autoRedefine/>
    <w:qFormat/>
    <w:rsid w:val="009B6B98"/>
    <w:pPr>
      <w:spacing w:before="240" w:after="240"/>
      <w:jc w:val="right"/>
    </w:pPr>
    <w:rPr>
      <w:rFonts w:ascii="Franklin Gothic Medium" w:eastAsia="Cambria" w:hAnsi="Franklin Gothic Medium" w:cs="Arial"/>
      <w:noProof/>
      <w:sz w:val="20"/>
      <w:szCs w:val="20"/>
      <w:lang w:val="en-US" w:eastAsia="en-US"/>
    </w:rPr>
  </w:style>
  <w:style w:type="paragraph" w:styleId="Sansinterligne">
    <w:name w:val="No Spacing"/>
    <w:uiPriority w:val="99"/>
    <w:rsid w:val="009B6B98"/>
    <w:pPr>
      <w:spacing w:after="0" w:line="240" w:lineRule="auto"/>
    </w:pPr>
    <w:rPr>
      <w:rFonts w:ascii="Cambria" w:eastAsia="Cambria" w:hAnsi="Cambria" w:cs="Arial"/>
      <w:sz w:val="24"/>
      <w:szCs w:val="24"/>
      <w:lang w:val="en-US"/>
    </w:rPr>
  </w:style>
  <w:style w:type="character" w:styleId="Titredulivre">
    <w:name w:val="Book Title"/>
    <w:uiPriority w:val="69"/>
    <w:rsid w:val="009B6B98"/>
    <w:rPr>
      <w:b/>
      <w:bCs/>
      <w:i/>
      <w:iCs/>
      <w:spacing w:val="5"/>
    </w:rPr>
  </w:style>
  <w:style w:type="paragraph" w:styleId="Citationintense">
    <w:name w:val="Intense Quote"/>
    <w:basedOn w:val="Normal"/>
    <w:next w:val="Normal"/>
    <w:link w:val="CitationintenseCar"/>
    <w:uiPriority w:val="60"/>
    <w:rsid w:val="009B6B98"/>
    <w:pPr>
      <w:pBdr>
        <w:top w:val="single" w:sz="4" w:space="10" w:color="4472C4"/>
        <w:bottom w:val="single" w:sz="4" w:space="10" w:color="4472C4"/>
      </w:pBdr>
      <w:spacing w:before="360" w:after="360"/>
      <w:ind w:left="864" w:right="864"/>
      <w:jc w:val="center"/>
    </w:pPr>
    <w:rPr>
      <w:rFonts w:ascii="Franklin Gothic Book" w:eastAsia="Cambria" w:hAnsi="Franklin Gothic Book" w:cs="Arial"/>
      <w:i/>
      <w:iCs/>
      <w:color w:val="4472C4"/>
      <w:sz w:val="22"/>
      <w:lang w:val="en-US" w:eastAsia="en-US"/>
    </w:rPr>
  </w:style>
  <w:style w:type="character" w:customStyle="1" w:styleId="CitationintenseCar">
    <w:name w:val="Citation intense Car"/>
    <w:basedOn w:val="Policepardfaut"/>
    <w:link w:val="Citationintense"/>
    <w:uiPriority w:val="60"/>
    <w:rsid w:val="009B6B98"/>
    <w:rPr>
      <w:rFonts w:ascii="Franklin Gothic Book" w:eastAsia="Cambria" w:hAnsi="Franklin Gothic Book" w:cs="Arial"/>
      <w:i/>
      <w:iCs/>
      <w:color w:val="4472C4"/>
      <w:szCs w:val="24"/>
      <w:lang w:val="en-US"/>
    </w:rPr>
  </w:style>
  <w:style w:type="character" w:styleId="Accentuationlgre">
    <w:name w:val="Subtle Emphasis"/>
    <w:uiPriority w:val="65"/>
    <w:rsid w:val="009B6B98"/>
    <w:rPr>
      <w:i/>
      <w:iCs/>
      <w:color w:val="404040"/>
    </w:rPr>
  </w:style>
  <w:style w:type="character" w:styleId="Accentuationintense">
    <w:name w:val="Intense Emphasis"/>
    <w:uiPriority w:val="66"/>
    <w:rsid w:val="009B6B98"/>
    <w:rPr>
      <w:i/>
      <w:iCs/>
      <w:color w:val="4472C4"/>
    </w:rPr>
  </w:style>
  <w:style w:type="character" w:styleId="Rfrencelgre">
    <w:name w:val="Subtle Reference"/>
    <w:uiPriority w:val="67"/>
    <w:rsid w:val="009B6B98"/>
    <w:rPr>
      <w:smallCaps/>
      <w:color w:val="5A5A5A"/>
    </w:rPr>
  </w:style>
  <w:style w:type="character" w:styleId="Rfrenceintense">
    <w:name w:val="Intense Reference"/>
    <w:uiPriority w:val="68"/>
    <w:rsid w:val="009B6B98"/>
    <w:rPr>
      <w:b/>
      <w:bCs/>
      <w:smallCaps/>
      <w:color w:val="4472C4"/>
      <w:spacing w:val="5"/>
    </w:rPr>
  </w:style>
  <w:style w:type="paragraph" w:styleId="Paragraphedeliste">
    <w:name w:val="List Paragraph"/>
    <w:basedOn w:val="Normal"/>
    <w:uiPriority w:val="34"/>
    <w:qFormat/>
    <w:rsid w:val="009B6B98"/>
    <w:pPr>
      <w:spacing w:before="240" w:after="240"/>
      <w:ind w:left="720"/>
    </w:pPr>
    <w:rPr>
      <w:rFonts w:ascii="Franklin Gothic Book" w:eastAsia="Cambria" w:hAnsi="Franklin Gothic Book" w:cs="Arial"/>
      <w:sz w:val="22"/>
      <w:lang w:val="en-US" w:eastAsia="en-US"/>
    </w:rPr>
  </w:style>
  <w:style w:type="paragraph" w:styleId="Citation">
    <w:name w:val="Quote"/>
    <w:basedOn w:val="Normal"/>
    <w:next w:val="Normal"/>
    <w:link w:val="CitationCar"/>
    <w:uiPriority w:val="73"/>
    <w:rsid w:val="009B6B98"/>
    <w:pPr>
      <w:spacing w:before="200" w:after="160"/>
      <w:ind w:left="864" w:right="864"/>
      <w:jc w:val="center"/>
    </w:pPr>
    <w:rPr>
      <w:rFonts w:ascii="Franklin Gothic Book" w:eastAsia="Cambria" w:hAnsi="Franklin Gothic Book" w:cs="Arial"/>
      <w:i/>
      <w:iCs/>
      <w:color w:val="404040"/>
      <w:sz w:val="22"/>
      <w:lang w:val="en-US" w:eastAsia="en-US"/>
    </w:rPr>
  </w:style>
  <w:style w:type="character" w:customStyle="1" w:styleId="CitationCar">
    <w:name w:val="Citation Car"/>
    <w:basedOn w:val="Policepardfaut"/>
    <w:link w:val="Citation"/>
    <w:uiPriority w:val="73"/>
    <w:rsid w:val="009B6B98"/>
    <w:rPr>
      <w:rFonts w:ascii="Franklin Gothic Book" w:eastAsia="Cambria" w:hAnsi="Franklin Gothic Book" w:cs="Arial"/>
      <w:i/>
      <w:iCs/>
      <w:color w:val="404040"/>
      <w:szCs w:val="24"/>
      <w:lang w:val="en-US"/>
    </w:rPr>
  </w:style>
  <w:style w:type="paragraph" w:customStyle="1" w:styleId="MainTitle">
    <w:name w:val="Main Title"/>
    <w:basedOn w:val="MediumGrid21"/>
    <w:qFormat/>
    <w:rsid w:val="009B6B98"/>
    <w:pPr>
      <w:pBdr>
        <w:bottom w:val="single" w:sz="8" w:space="4" w:color="1A4066"/>
      </w:pBdr>
    </w:pPr>
  </w:style>
  <w:style w:type="paragraph" w:customStyle="1" w:styleId="SubTitle">
    <w:name w:val="Sub Title"/>
    <w:basedOn w:val="Titre1"/>
    <w:qFormat/>
    <w:rsid w:val="009B6B98"/>
    <w:rPr>
      <w:rFonts w:ascii="Franklin Gothic Book" w:hAnsi="Franklin Gothic Book"/>
      <w:b/>
    </w:rPr>
  </w:style>
  <w:style w:type="paragraph" w:customStyle="1" w:styleId="HeaderDate">
    <w:name w:val="Header – Date"/>
    <w:basedOn w:val="Style1"/>
    <w:qFormat/>
    <w:rsid w:val="009B6B98"/>
    <w:pPr>
      <w:spacing w:before="0" w:after="0" w:line="276" w:lineRule="auto"/>
    </w:pPr>
    <w:rPr>
      <w:rFonts w:ascii="Franklin Gothic Book" w:hAnsi="Franklin Gothic Book"/>
      <w:sz w:val="18"/>
      <w:szCs w:val="18"/>
    </w:rPr>
  </w:style>
  <w:style w:type="paragraph" w:customStyle="1" w:styleId="Text">
    <w:name w:val="Text"/>
    <w:basedOn w:val="Normal"/>
    <w:qFormat/>
    <w:rsid w:val="009B6B98"/>
    <w:pPr>
      <w:spacing w:before="240" w:after="120" w:line="276" w:lineRule="auto"/>
    </w:pPr>
    <w:rPr>
      <w:rFonts w:ascii="Franklin Gothic Book" w:eastAsia="Cambria" w:hAnsi="Franklin Gothic Book" w:cs="Arial"/>
      <w:sz w:val="22"/>
      <w:lang w:val="en-US" w:eastAsia="en-US"/>
    </w:rPr>
  </w:style>
  <w:style w:type="paragraph" w:customStyle="1" w:styleId="Quoteinbox">
    <w:name w:val="Quote in box"/>
    <w:basedOn w:val="Text"/>
    <w:qFormat/>
    <w:rsid w:val="009B6B98"/>
    <w:pPr>
      <w:spacing w:after="240"/>
      <w:ind w:left="113" w:right="113"/>
    </w:pPr>
    <w:rPr>
      <w:i/>
    </w:rPr>
  </w:style>
  <w:style w:type="paragraph" w:customStyle="1" w:styleId="Captiontext">
    <w:name w:val="Caption text"/>
    <w:basedOn w:val="Normal"/>
    <w:qFormat/>
    <w:rsid w:val="009B6B98"/>
    <w:pPr>
      <w:spacing w:line="276" w:lineRule="auto"/>
    </w:pPr>
    <w:rPr>
      <w:rFonts w:ascii="Franklin Gothic Book" w:eastAsia="Cambria" w:hAnsi="Franklin Gothic Book" w:cs="Arial"/>
      <w:i/>
      <w:iCs/>
      <w:color w:val="595959"/>
      <w:sz w:val="18"/>
      <w:szCs w:val="18"/>
      <w:lang w:val="en-US" w:eastAsia="en-US"/>
    </w:rPr>
  </w:style>
  <w:style w:type="paragraph" w:customStyle="1" w:styleId="TextBold">
    <w:name w:val="Text Bold"/>
    <w:basedOn w:val="Normal"/>
    <w:qFormat/>
    <w:rsid w:val="009B6B98"/>
    <w:pPr>
      <w:spacing w:before="240" w:after="120" w:line="276" w:lineRule="auto"/>
    </w:pPr>
    <w:rPr>
      <w:rFonts w:ascii="Franklin Gothic Book" w:eastAsia="Cambria" w:hAnsi="Franklin Gothic Book" w:cs="Arial"/>
      <w:b/>
      <w:noProof/>
      <w:sz w:val="22"/>
      <w:lang w:val="en-US" w:eastAsia="en-US"/>
    </w:rPr>
  </w:style>
  <w:style w:type="table" w:styleId="Grilledutableau">
    <w:name w:val="Table Grid"/>
    <w:basedOn w:val="TableauNormal"/>
    <w:uiPriority w:val="39"/>
    <w:rsid w:val="009B6B98"/>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9B6B98"/>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9B6B98"/>
    <w:pPr>
      <w:tabs>
        <w:tab w:val="right" w:leader="dot" w:pos="9062"/>
      </w:tabs>
      <w:spacing w:before="60" w:after="60" w:line="259" w:lineRule="auto"/>
    </w:pPr>
    <w:rPr>
      <w:rFonts w:ascii="Franklin Gothic Book" w:eastAsiaTheme="minorHAnsi" w:hAnsi="Franklin Gothic Book" w:cstheme="minorBidi"/>
      <w:b/>
      <w:bCs/>
      <w:noProof/>
      <w:sz w:val="20"/>
      <w:szCs w:val="20"/>
      <w:lang w:val="en-GB" w:eastAsia="en-US"/>
    </w:rPr>
  </w:style>
  <w:style w:type="paragraph" w:styleId="TM2">
    <w:name w:val="toc 2"/>
    <w:basedOn w:val="Normal"/>
    <w:next w:val="Normal"/>
    <w:autoRedefine/>
    <w:uiPriority w:val="39"/>
    <w:unhideWhenUsed/>
    <w:rsid w:val="009B6B98"/>
    <w:pPr>
      <w:spacing w:after="100" w:line="259" w:lineRule="auto"/>
      <w:ind w:left="220"/>
    </w:pPr>
    <w:rPr>
      <w:rFonts w:asciiTheme="minorHAnsi" w:eastAsiaTheme="minorHAnsi" w:hAnsiTheme="minorHAnsi" w:cstheme="minorBidi"/>
      <w:sz w:val="22"/>
      <w:szCs w:val="22"/>
      <w:lang w:val="en-GB" w:eastAsia="en-US"/>
    </w:rPr>
  </w:style>
  <w:style w:type="paragraph" w:styleId="Rvision">
    <w:name w:val="Revision"/>
    <w:hidden/>
    <w:uiPriority w:val="71"/>
    <w:rsid w:val="009B6B98"/>
    <w:pPr>
      <w:spacing w:after="0" w:line="240" w:lineRule="auto"/>
    </w:pPr>
    <w:rPr>
      <w:rFonts w:ascii="Franklin Gothic Book" w:eastAsia="Cambria" w:hAnsi="Franklin Gothic Book" w:cs="Arial"/>
      <w:szCs w:val="24"/>
      <w:lang w:val="en-US"/>
    </w:rPr>
  </w:style>
  <w:style w:type="character" w:styleId="Textedelespacerserv">
    <w:name w:val="Placeholder Text"/>
    <w:basedOn w:val="Policepardfaut"/>
    <w:uiPriority w:val="99"/>
    <w:rsid w:val="009B6B98"/>
    <w:rPr>
      <w:color w:val="808080"/>
    </w:rPr>
  </w:style>
  <w:style w:type="paragraph" w:styleId="TM3">
    <w:name w:val="toc 3"/>
    <w:basedOn w:val="Normal"/>
    <w:next w:val="Normal"/>
    <w:autoRedefine/>
    <w:uiPriority w:val="39"/>
    <w:unhideWhenUsed/>
    <w:rsid w:val="009B6B98"/>
    <w:pPr>
      <w:spacing w:before="240" w:after="100"/>
      <w:ind w:left="440"/>
    </w:pPr>
    <w:rPr>
      <w:rFonts w:ascii="Franklin Gothic Book" w:eastAsia="Cambria" w:hAnsi="Franklin Gothic Book" w:cs="Arial"/>
      <w:sz w:val="22"/>
      <w:lang w:val="en-US" w:eastAsia="en-US"/>
    </w:rPr>
  </w:style>
  <w:style w:type="character" w:customStyle="1" w:styleId="Mention1">
    <w:name w:val="Mention1"/>
    <w:basedOn w:val="Policepardfaut"/>
    <w:uiPriority w:val="99"/>
    <w:unhideWhenUsed/>
    <w:rsid w:val="009B6B98"/>
    <w:rPr>
      <w:color w:val="2B579A"/>
      <w:shd w:val="clear" w:color="auto" w:fill="E1DFDD"/>
    </w:rPr>
  </w:style>
  <w:style w:type="paragraph" w:styleId="Notedebasdepage">
    <w:name w:val="footnote text"/>
    <w:basedOn w:val="Normal"/>
    <w:link w:val="NotedebasdepageCar"/>
    <w:uiPriority w:val="99"/>
    <w:unhideWhenUsed/>
    <w:rsid w:val="009B6B98"/>
    <w:rPr>
      <w:rFonts w:ascii="Franklin Gothic Book" w:eastAsia="Cambria" w:hAnsi="Franklin Gothic Book" w:cs="Arial"/>
      <w:sz w:val="20"/>
      <w:szCs w:val="20"/>
      <w:lang w:val="en-US" w:eastAsia="en-US"/>
    </w:rPr>
  </w:style>
  <w:style w:type="character" w:customStyle="1" w:styleId="NotedebasdepageCar">
    <w:name w:val="Note de bas de page Car"/>
    <w:basedOn w:val="Policepardfaut"/>
    <w:link w:val="Notedebasdepage"/>
    <w:uiPriority w:val="99"/>
    <w:rsid w:val="009B6B98"/>
    <w:rPr>
      <w:rFonts w:ascii="Franklin Gothic Book" w:eastAsia="Cambria" w:hAnsi="Franklin Gothic Book" w:cs="Arial"/>
      <w:sz w:val="20"/>
      <w:szCs w:val="20"/>
      <w:lang w:val="en-US"/>
    </w:rPr>
  </w:style>
  <w:style w:type="character" w:styleId="Appelnotedebasdep">
    <w:name w:val="footnote reference"/>
    <w:basedOn w:val="Policepardfaut"/>
    <w:uiPriority w:val="99"/>
    <w:semiHidden/>
    <w:unhideWhenUsed/>
    <w:rsid w:val="009B6B98"/>
    <w:rPr>
      <w:vertAlign w:val="superscript"/>
    </w:rPr>
  </w:style>
  <w:style w:type="paragraph" w:customStyle="1" w:styleId="Default">
    <w:name w:val="Default"/>
    <w:rsid w:val="009B6B98"/>
    <w:pPr>
      <w:autoSpaceDE w:val="0"/>
      <w:autoSpaceDN w:val="0"/>
      <w:adjustRightInd w:val="0"/>
      <w:spacing w:after="0" w:line="240" w:lineRule="auto"/>
    </w:pPr>
    <w:rPr>
      <w:rFonts w:ascii="Trebuchet MS" w:eastAsia="Cambria" w:hAnsi="Trebuchet MS" w:cs="Trebuchet MS"/>
      <w:color w:val="000000"/>
      <w:sz w:val="24"/>
      <w:szCs w:val="24"/>
    </w:rPr>
  </w:style>
  <w:style w:type="character" w:customStyle="1" w:styleId="Mentionnonrsolue2">
    <w:name w:val="Mention non résolue2"/>
    <w:basedOn w:val="Policepardfaut"/>
    <w:uiPriority w:val="99"/>
    <w:semiHidden/>
    <w:unhideWhenUsed/>
    <w:rsid w:val="009B6B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5234</Words>
  <Characters>28790</Characters>
  <Application>Microsoft Office Word</Application>
  <DocSecurity>0</DocSecurity>
  <Lines>239</Lines>
  <Paragraphs>67</Paragraphs>
  <ScaleCrop>false</ScaleCrop>
  <Company/>
  <LinksUpToDate>false</LinksUpToDate>
  <CharactersWithSpaces>33957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Mambele</dc:creator>
  <cp:keywords/>
  <dc:description/>
  <cp:lastModifiedBy>Alvin Mambele</cp:lastModifiedBy>
  <cp:revision>2</cp:revision>
  <dcterms:created xsi:type="dcterms:W3CDTF">2026-10-01T11:25:00Z</dcterms:created>
  <dcterms:modified xsi:type="dcterms:W3CDTF">2026-10-01T11:57:00Z</dcterms:modified>
</cp:coreProperties>
</file>